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rPr>
          <w:rFonts w:hint="eastAsia" w:ascii="宋体" w:hAnsi="宋体" w:eastAsia="宋体" w:cs="宋体"/>
          <w:color w:val="auto"/>
          <w:highlight w:val="none"/>
        </w:rPr>
      </w:pPr>
      <w:r>
        <w:rPr>
          <w:rFonts w:hint="eastAsia" w:ascii="宋体" w:hAnsi="宋体" w:eastAsia="宋体" w:cs="宋体"/>
          <w:color w:val="auto"/>
          <w:highlight w:val="none"/>
        </w:rPr>
        <w:t>附件1：资格审查条件</w:t>
      </w:r>
    </w:p>
    <w:p>
      <w:pPr>
        <w:rPr>
          <w:rFonts w:hint="eastAsia" w:ascii="宋体" w:hAnsi="宋体" w:eastAsia="宋体" w:cs="宋体"/>
          <w:color w:val="auto"/>
          <w:sz w:val="24"/>
          <w:szCs w:val="24"/>
          <w:highlight w:val="none"/>
        </w:rPr>
      </w:pPr>
    </w:p>
    <w:p>
      <w:pPr>
        <w:spacing w:line="360" w:lineRule="auto"/>
        <w:jc w:val="center"/>
        <w:rPr>
          <w:rStyle w:val="18"/>
          <w:rFonts w:hint="eastAsia" w:ascii="宋体" w:hAnsi="宋体" w:eastAsia="宋体" w:cs="宋体"/>
          <w:b/>
          <w:color w:val="auto"/>
          <w:sz w:val="24"/>
          <w:szCs w:val="24"/>
          <w:highlight w:val="none"/>
        </w:rPr>
      </w:pPr>
      <w:r>
        <w:rPr>
          <w:rStyle w:val="18"/>
          <w:rFonts w:hint="eastAsia" w:ascii="宋体" w:hAnsi="宋体" w:eastAsia="宋体" w:cs="宋体"/>
          <w:color w:val="auto"/>
          <w:sz w:val="24"/>
          <w:szCs w:val="24"/>
          <w:highlight w:val="none"/>
        </w:rPr>
        <w:t>附录1  资格审查条件（资质最低条件）</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180" w:type="dxa"/>
            <w:shd w:val="clear" w:color="auto" w:fill="auto"/>
          </w:tcPr>
          <w:p>
            <w:pPr>
              <w:spacing w:line="360" w:lineRule="auto"/>
              <w:jc w:val="center"/>
              <w:rPr>
                <w:rStyle w:val="18"/>
                <w:rFonts w:hint="eastAsia" w:ascii="宋体" w:hAnsi="宋体" w:eastAsia="宋体" w:cs="宋体"/>
                <w:b/>
                <w:color w:val="auto"/>
                <w:sz w:val="24"/>
                <w:szCs w:val="24"/>
                <w:highlight w:val="none"/>
              </w:rPr>
            </w:pPr>
            <w:r>
              <w:rPr>
                <w:rFonts w:hint="eastAsia" w:ascii="宋体" w:hAnsi="宋体" w:eastAsia="宋体" w:cs="宋体"/>
                <w:b/>
                <w:bCs/>
                <w:color w:val="auto"/>
                <w:sz w:val="24"/>
                <w:szCs w:val="24"/>
                <w:highlight w:val="none"/>
              </w:rPr>
              <w:t>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2" w:hRule="atLeast"/>
        </w:trPr>
        <w:tc>
          <w:tcPr>
            <w:tcW w:w="9180" w:type="dxa"/>
            <w:shd w:val="clear" w:color="auto" w:fill="auto"/>
            <w:vAlign w:val="center"/>
          </w:tcPr>
          <w:p>
            <w:pPr>
              <w:spacing w:line="360" w:lineRule="auto"/>
              <w:ind w:firstLine="480" w:firstLineChars="200"/>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投标人须为在中华人民共和国境内注册的独立法人</w:t>
            </w:r>
            <w:r>
              <w:rPr>
                <w:rFonts w:hint="eastAsia" w:ascii="宋体" w:hAnsi="宋体" w:eastAsia="宋体" w:cs="宋体"/>
                <w:strike w:val="0"/>
                <w:dstrike w:val="0"/>
                <w:color w:val="auto"/>
                <w:sz w:val="24"/>
                <w:szCs w:val="24"/>
                <w:highlight w:val="none"/>
              </w:rPr>
              <w:t>，</w:t>
            </w:r>
            <w:r>
              <w:rPr>
                <w:rFonts w:hint="eastAsia" w:ascii="宋体" w:hAnsi="宋体" w:eastAsia="宋体" w:cs="宋体"/>
                <w:color w:val="auto"/>
                <w:sz w:val="24"/>
                <w:szCs w:val="24"/>
                <w:highlight w:val="none"/>
              </w:rPr>
              <w:t>在人员、设备、资金等方面具有承担本项目的能力，具备有效的营业执照</w:t>
            </w:r>
            <w:r>
              <w:rPr>
                <w:rFonts w:hint="eastAsia" w:ascii="宋体" w:hAnsi="宋体" w:eastAsia="宋体" w:cs="宋体"/>
                <w:color w:val="auto"/>
                <w:sz w:val="24"/>
                <w:szCs w:val="24"/>
                <w:highlight w:val="none"/>
                <w:lang w:val="en-US" w:eastAsia="zh-CN"/>
              </w:rPr>
              <w:t>及印刷经营许可证。</w:t>
            </w:r>
          </w:p>
        </w:tc>
      </w:tr>
    </w:tbl>
    <w:p>
      <w:pPr>
        <w:spacing w:line="360" w:lineRule="auto"/>
        <w:jc w:val="left"/>
        <w:rPr>
          <w:rStyle w:val="18"/>
          <w:rFonts w:hint="eastAsia" w:ascii="宋体" w:hAnsi="宋体" w:eastAsia="宋体" w:cs="宋体"/>
          <w:b/>
          <w:color w:val="auto"/>
          <w:sz w:val="24"/>
          <w:szCs w:val="24"/>
          <w:highlight w:val="none"/>
        </w:rPr>
      </w:pPr>
    </w:p>
    <w:p>
      <w:pPr>
        <w:spacing w:line="360" w:lineRule="auto"/>
        <w:jc w:val="left"/>
        <w:rPr>
          <w:rStyle w:val="19"/>
          <w:rFonts w:hint="eastAsia" w:ascii="宋体" w:hAnsi="宋体" w:eastAsia="宋体" w:cs="宋体"/>
          <w:b/>
          <w:color w:val="auto"/>
          <w:sz w:val="24"/>
          <w:szCs w:val="24"/>
          <w:highlight w:val="none"/>
        </w:rPr>
      </w:pPr>
    </w:p>
    <w:p>
      <w:pPr>
        <w:spacing w:line="360" w:lineRule="auto"/>
        <w:jc w:val="center"/>
        <w:rPr>
          <w:rStyle w:val="19"/>
          <w:rFonts w:hint="eastAsia" w:ascii="宋体" w:hAnsi="宋体" w:eastAsia="宋体" w:cs="宋体"/>
          <w:b/>
          <w:color w:val="auto"/>
          <w:sz w:val="24"/>
          <w:szCs w:val="24"/>
          <w:highlight w:val="none"/>
        </w:rPr>
      </w:pPr>
      <w:r>
        <w:rPr>
          <w:rStyle w:val="19"/>
          <w:rFonts w:hint="eastAsia" w:ascii="宋体" w:hAnsi="宋体" w:eastAsia="宋体" w:cs="宋体"/>
          <w:color w:val="auto"/>
          <w:sz w:val="24"/>
          <w:szCs w:val="24"/>
          <w:highlight w:val="none"/>
        </w:rPr>
        <w:t>附录</w:t>
      </w:r>
      <w:r>
        <w:rPr>
          <w:rStyle w:val="19"/>
          <w:rFonts w:hint="eastAsia" w:ascii="宋体" w:hAnsi="宋体" w:eastAsia="宋体" w:cs="宋体"/>
          <w:color w:val="auto"/>
          <w:sz w:val="24"/>
          <w:szCs w:val="24"/>
          <w:highlight w:val="none"/>
          <w:lang w:val="en-US"/>
        </w:rPr>
        <w:t>2</w:t>
      </w:r>
      <w:r>
        <w:rPr>
          <w:rStyle w:val="19"/>
          <w:rFonts w:hint="eastAsia" w:ascii="宋体" w:hAnsi="宋体" w:eastAsia="宋体" w:cs="宋体"/>
          <w:color w:val="auto"/>
          <w:sz w:val="24"/>
          <w:szCs w:val="24"/>
          <w:highlight w:val="none"/>
        </w:rPr>
        <w:t xml:space="preserve">  </w:t>
      </w:r>
      <w:r>
        <w:rPr>
          <w:rStyle w:val="18"/>
          <w:rFonts w:hint="eastAsia" w:ascii="宋体" w:hAnsi="宋体" w:eastAsia="宋体" w:cs="宋体"/>
          <w:color w:val="auto"/>
          <w:sz w:val="24"/>
          <w:szCs w:val="24"/>
          <w:highlight w:val="none"/>
        </w:rPr>
        <w:t xml:space="preserve">  </w:t>
      </w:r>
      <w:r>
        <w:rPr>
          <w:rStyle w:val="19"/>
          <w:rFonts w:hint="eastAsia" w:ascii="宋体" w:hAnsi="宋体" w:eastAsia="宋体" w:cs="宋体"/>
          <w:color w:val="auto"/>
          <w:sz w:val="24"/>
          <w:szCs w:val="24"/>
          <w:highlight w:val="none"/>
        </w:rPr>
        <w:t>资格审查条</w:t>
      </w:r>
      <w:r>
        <w:rPr>
          <w:rStyle w:val="19"/>
          <w:rFonts w:hint="eastAsia" w:ascii="宋体" w:hAnsi="宋体" w:eastAsia="宋体" w:cs="宋体"/>
          <w:b w:val="0"/>
          <w:bCs w:val="0"/>
          <w:color w:val="auto"/>
          <w:sz w:val="24"/>
          <w:szCs w:val="24"/>
          <w:highlight w:val="none"/>
        </w:rPr>
        <w:t>件（</w:t>
      </w:r>
      <w:r>
        <w:rPr>
          <w:rFonts w:hint="eastAsia" w:ascii="宋体" w:hAnsi="宋体" w:eastAsia="宋体" w:cs="宋体"/>
          <w:b w:val="0"/>
          <w:bCs w:val="0"/>
          <w:color w:val="auto"/>
          <w:sz w:val="24"/>
          <w:szCs w:val="24"/>
          <w:highlight w:val="none"/>
        </w:rPr>
        <w:t>业绩最低要求</w:t>
      </w:r>
      <w:r>
        <w:rPr>
          <w:rStyle w:val="19"/>
          <w:rFonts w:hint="eastAsia" w:ascii="宋体" w:hAnsi="宋体" w:eastAsia="宋体" w:cs="宋体"/>
          <w:b w:val="0"/>
          <w:bCs w:val="0"/>
          <w:color w:val="auto"/>
          <w:sz w:val="24"/>
          <w:szCs w:val="24"/>
          <w:highlight w:val="none"/>
        </w:rPr>
        <w:t>）</w:t>
      </w:r>
    </w:p>
    <w:tbl>
      <w:tblPr>
        <w:tblStyle w:val="16"/>
        <w:tblpPr w:leftFromText="180" w:rightFromText="180" w:vertAnchor="text" w:horzAnchor="margin" w:tblpXSpec="center" w:tblpY="2"/>
        <w:tblW w:w="86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blHeader/>
        </w:trPr>
        <w:tc>
          <w:tcPr>
            <w:tcW w:w="8618" w:type="dxa"/>
            <w:vAlign w:val="center"/>
          </w:tcPr>
          <w:p>
            <w:pPr>
              <w:spacing w:line="360" w:lineRule="auto"/>
              <w:jc w:val="center"/>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业绩要求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5" w:hRule="atLeast"/>
        </w:trPr>
        <w:tc>
          <w:tcPr>
            <w:tcW w:w="8618" w:type="dxa"/>
            <w:vAlign w:val="center"/>
          </w:tcPr>
          <w:p>
            <w:pPr>
              <w:pStyle w:val="20"/>
              <w:spacing w:line="360" w:lineRule="auto"/>
              <w:ind w:firstLineChars="0"/>
              <w:jc w:val="left"/>
              <w:rPr>
                <w:rFonts w:hint="eastAsia" w:ascii="宋体" w:hAnsi="宋体" w:eastAsia="宋体" w:cs="宋体"/>
                <w:b/>
                <w:bCs/>
                <w:color w:val="auto"/>
                <w:sz w:val="24"/>
                <w:szCs w:val="24"/>
                <w:highlight w:val="none"/>
                <w:lang w:val="en-US" w:eastAsia="zh-CN"/>
              </w:rPr>
            </w:pPr>
            <w:r>
              <w:rPr>
                <w:rFonts w:hint="eastAsia" w:ascii="宋体" w:hAnsi="宋体" w:eastAsia="宋体" w:cs="宋体"/>
                <w:color w:val="auto"/>
                <w:kern w:val="0"/>
                <w:sz w:val="24"/>
                <w:szCs w:val="24"/>
                <w:highlight w:val="none"/>
                <w:shd w:val="clear" w:color="auto" w:fill="FFFFFF" w:themeFill="background1"/>
                <w:lang w:val="zh-TW" w:eastAsia="zh-TW"/>
              </w:rPr>
              <w:t>投标人自20</w:t>
            </w:r>
            <w:r>
              <w:rPr>
                <w:rFonts w:hint="eastAsia" w:ascii="宋体" w:hAnsi="宋体" w:eastAsia="宋体" w:cs="宋体"/>
                <w:color w:val="auto"/>
                <w:kern w:val="0"/>
                <w:sz w:val="24"/>
                <w:szCs w:val="24"/>
                <w:highlight w:val="none"/>
                <w:shd w:val="clear" w:color="auto" w:fill="FFFFFF" w:themeFill="background1"/>
                <w:lang w:val="en-US" w:eastAsia="zh-CN"/>
              </w:rPr>
              <w:t>20</w:t>
            </w:r>
            <w:r>
              <w:rPr>
                <w:rFonts w:hint="eastAsia" w:ascii="宋体" w:hAnsi="宋体" w:eastAsia="宋体" w:cs="宋体"/>
                <w:color w:val="auto"/>
                <w:kern w:val="0"/>
                <w:sz w:val="24"/>
                <w:szCs w:val="24"/>
                <w:highlight w:val="none"/>
                <w:shd w:val="clear" w:color="auto" w:fill="FFFFFF" w:themeFill="background1"/>
                <w:lang w:val="zh-TW" w:eastAsia="zh-TW"/>
              </w:rPr>
              <w:t>年</w:t>
            </w:r>
            <w:r>
              <w:rPr>
                <w:rFonts w:hint="eastAsia" w:ascii="宋体" w:hAnsi="宋体" w:eastAsia="宋体" w:cs="宋体"/>
                <w:color w:val="auto"/>
                <w:kern w:val="0"/>
                <w:sz w:val="24"/>
                <w:szCs w:val="24"/>
                <w:highlight w:val="none"/>
                <w:shd w:val="clear" w:color="auto" w:fill="FFFFFF" w:themeFill="background1"/>
                <w:lang w:val="en-US" w:eastAsia="zh-CN"/>
              </w:rPr>
              <w:t>2</w:t>
            </w:r>
            <w:r>
              <w:rPr>
                <w:rFonts w:hint="eastAsia" w:ascii="宋体" w:hAnsi="宋体" w:eastAsia="宋体" w:cs="宋体"/>
                <w:color w:val="auto"/>
                <w:kern w:val="0"/>
                <w:sz w:val="24"/>
                <w:szCs w:val="24"/>
                <w:highlight w:val="none"/>
                <w:shd w:val="clear" w:color="auto" w:fill="FFFFFF" w:themeFill="background1"/>
                <w:lang w:val="zh-TW" w:eastAsia="zh-TW"/>
              </w:rPr>
              <w:t>月1日至投标截止时间（以合同签订</w:t>
            </w:r>
            <w:r>
              <w:rPr>
                <w:rFonts w:hint="eastAsia" w:ascii="宋体" w:hAnsi="宋体" w:eastAsia="宋体" w:cs="宋体"/>
                <w:color w:val="auto"/>
                <w:kern w:val="0"/>
                <w:sz w:val="24"/>
                <w:szCs w:val="24"/>
                <w:highlight w:val="none"/>
                <w:shd w:val="clear" w:color="auto" w:fill="FFFFFF" w:themeFill="background1"/>
                <w:lang w:val="en-US" w:eastAsia="zh-CN"/>
              </w:rPr>
              <w:t>时间</w:t>
            </w:r>
            <w:r>
              <w:rPr>
                <w:rFonts w:hint="eastAsia" w:ascii="宋体" w:hAnsi="宋体" w:eastAsia="宋体" w:cs="宋体"/>
                <w:color w:val="auto"/>
                <w:kern w:val="0"/>
                <w:sz w:val="24"/>
                <w:szCs w:val="24"/>
                <w:highlight w:val="none"/>
                <w:shd w:val="clear" w:color="auto" w:fill="FFFFFF" w:themeFill="background1"/>
                <w:lang w:val="zh-TW" w:eastAsia="zh-TW"/>
              </w:rPr>
              <w:t>为准）</w:t>
            </w:r>
            <w:r>
              <w:rPr>
                <w:rFonts w:hint="eastAsia" w:ascii="宋体" w:hAnsi="宋体" w:eastAsia="宋体" w:cs="宋体"/>
                <w:color w:val="auto"/>
                <w:kern w:val="0"/>
                <w:sz w:val="24"/>
                <w:szCs w:val="24"/>
                <w:highlight w:val="none"/>
                <w:shd w:val="clear" w:color="auto" w:fill="FFFFFF" w:themeFill="background1"/>
                <w:lang w:val="en-US" w:eastAsia="zh-CN"/>
              </w:rPr>
              <w:t>至少应具有一个印刷服务业绩。</w:t>
            </w:r>
          </w:p>
        </w:tc>
      </w:tr>
    </w:tbl>
    <w:p>
      <w:pPr>
        <w:spacing w:line="360" w:lineRule="auto"/>
        <w:ind w:firstLine="2400" w:firstLineChars="1000"/>
        <w:jc w:val="left"/>
        <w:rPr>
          <w:rStyle w:val="18"/>
          <w:rFonts w:hint="eastAsia" w:ascii="宋体" w:hAnsi="宋体" w:eastAsia="宋体" w:cs="宋体"/>
          <w:color w:val="auto"/>
          <w:sz w:val="24"/>
          <w:szCs w:val="24"/>
          <w:highlight w:val="none"/>
        </w:rPr>
      </w:pPr>
    </w:p>
    <w:p>
      <w:pPr>
        <w:spacing w:line="360" w:lineRule="auto"/>
        <w:ind w:firstLine="2400" w:firstLineChars="1000"/>
        <w:jc w:val="left"/>
        <w:rPr>
          <w:rStyle w:val="18"/>
          <w:rFonts w:hint="eastAsia" w:ascii="宋体" w:hAnsi="宋体" w:eastAsia="宋体" w:cs="宋体"/>
          <w:color w:val="auto"/>
          <w:sz w:val="24"/>
          <w:szCs w:val="24"/>
          <w:highlight w:val="none"/>
        </w:rPr>
      </w:pPr>
    </w:p>
    <w:p>
      <w:pPr>
        <w:spacing w:line="360" w:lineRule="auto"/>
        <w:ind w:firstLine="2400" w:firstLineChars="1000"/>
        <w:jc w:val="left"/>
        <w:rPr>
          <w:rStyle w:val="18"/>
          <w:rFonts w:hint="eastAsia" w:ascii="宋体" w:hAnsi="宋体" w:eastAsia="宋体" w:cs="宋体"/>
          <w:b/>
          <w:color w:val="auto"/>
          <w:sz w:val="24"/>
          <w:szCs w:val="24"/>
          <w:highlight w:val="none"/>
        </w:rPr>
      </w:pPr>
      <w:r>
        <w:rPr>
          <w:rStyle w:val="19"/>
          <w:rFonts w:hint="eastAsia" w:ascii="宋体" w:hAnsi="宋体" w:eastAsia="宋体" w:cs="宋体"/>
          <w:color w:val="auto"/>
          <w:sz w:val="24"/>
          <w:szCs w:val="24"/>
          <w:highlight w:val="none"/>
        </w:rPr>
        <w:t>附录</w:t>
      </w:r>
      <w:r>
        <w:rPr>
          <w:rStyle w:val="19"/>
          <w:rFonts w:hint="eastAsia" w:ascii="宋体" w:hAnsi="宋体" w:eastAsia="宋体" w:cs="宋体"/>
          <w:color w:val="auto"/>
          <w:sz w:val="24"/>
          <w:szCs w:val="24"/>
          <w:highlight w:val="none"/>
          <w:lang w:val="en-US"/>
        </w:rPr>
        <w:t>3</w:t>
      </w:r>
      <w:r>
        <w:rPr>
          <w:rStyle w:val="19"/>
          <w:rFonts w:hint="eastAsia" w:ascii="宋体" w:hAnsi="宋体" w:eastAsia="宋体" w:cs="宋体"/>
          <w:color w:val="auto"/>
          <w:sz w:val="24"/>
          <w:szCs w:val="24"/>
          <w:highlight w:val="none"/>
        </w:rPr>
        <w:t xml:space="preserve">  </w:t>
      </w:r>
      <w:r>
        <w:rPr>
          <w:rStyle w:val="18"/>
          <w:rFonts w:hint="eastAsia" w:ascii="宋体" w:hAnsi="宋体" w:eastAsia="宋体" w:cs="宋体"/>
          <w:color w:val="auto"/>
          <w:sz w:val="24"/>
          <w:szCs w:val="24"/>
          <w:highlight w:val="none"/>
        </w:rPr>
        <w:t xml:space="preserve">  资格审查条件（信誉最低要求）</w:t>
      </w:r>
    </w:p>
    <w:tbl>
      <w:tblPr>
        <w:tblStyle w:val="16"/>
        <w:tblW w:w="860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shd w:val="clear" w:color="auto" w:fill="auto"/>
          </w:tcPr>
          <w:p>
            <w:pPr>
              <w:spacing w:line="360" w:lineRule="auto"/>
              <w:jc w:val="center"/>
              <w:rPr>
                <w:rStyle w:val="18"/>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信誉要求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07" w:type="dxa"/>
            <w:shd w:val="clear" w:color="auto" w:fill="auto"/>
          </w:tcPr>
          <w:p>
            <w:pPr>
              <w:spacing w:line="360" w:lineRule="auto"/>
              <w:ind w:firstLine="48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投标人过去1年(202</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rPr>
              <w:t>月1日至今)不曾在</w:t>
            </w:r>
            <w:r>
              <w:rPr>
                <w:rFonts w:hint="eastAsia" w:ascii="宋体" w:hAnsi="宋体" w:eastAsia="宋体" w:cs="宋体"/>
                <w:color w:val="auto"/>
                <w:sz w:val="24"/>
                <w:szCs w:val="24"/>
                <w:highlight w:val="none"/>
                <w:lang w:val="en-US" w:eastAsia="zh-CN"/>
              </w:rPr>
              <w:t>同类</w:t>
            </w:r>
            <w:r>
              <w:rPr>
                <w:rFonts w:hint="eastAsia" w:ascii="宋体" w:hAnsi="宋体" w:eastAsia="宋体" w:cs="宋体"/>
                <w:color w:val="auto"/>
                <w:sz w:val="24"/>
                <w:szCs w:val="24"/>
                <w:highlight w:val="none"/>
              </w:rPr>
              <w:t>项目合同中违约而被驱逐或因投标人自身的原因而使</w:t>
            </w:r>
            <w:r>
              <w:rPr>
                <w:rFonts w:hint="eastAsia" w:ascii="宋体" w:hAnsi="宋体" w:cs="宋体"/>
                <w:color w:val="auto"/>
                <w:sz w:val="24"/>
                <w:szCs w:val="24"/>
                <w:highlight w:val="none"/>
                <w:lang w:val="en-US" w:eastAsia="zh-CN"/>
              </w:rPr>
              <w:t>同类</w:t>
            </w:r>
            <w:r>
              <w:rPr>
                <w:rFonts w:hint="eastAsia" w:ascii="宋体" w:hAnsi="宋体" w:eastAsia="宋体" w:cs="宋体"/>
                <w:color w:val="auto"/>
                <w:sz w:val="24"/>
                <w:szCs w:val="24"/>
                <w:highlight w:val="none"/>
              </w:rPr>
              <w:t>合同被解除。</w:t>
            </w:r>
          </w:p>
        </w:tc>
      </w:tr>
    </w:tbl>
    <w:p>
      <w:pPr>
        <w:pStyle w:val="14"/>
        <w:spacing w:before="120" w:after="120" w:line="360" w:lineRule="auto"/>
        <w:ind w:firstLine="482" w:firstLineChars="200"/>
        <w:rPr>
          <w:rFonts w:hint="eastAsia" w:ascii="宋体" w:hAnsi="宋体" w:eastAsia="宋体" w:cs="宋体"/>
          <w:color w:val="auto"/>
          <w:sz w:val="24"/>
          <w:szCs w:val="24"/>
          <w:highlight w:val="none"/>
        </w:rPr>
      </w:pPr>
    </w:p>
    <w:p>
      <w:pPr>
        <w:spacing w:line="360" w:lineRule="auto"/>
        <w:jc w:val="left"/>
        <w:rPr>
          <w:rStyle w:val="18"/>
          <w:rFonts w:hint="eastAsia" w:ascii="宋体" w:hAnsi="宋体" w:eastAsia="宋体" w:cs="宋体"/>
          <w:color w:val="auto"/>
          <w:sz w:val="24"/>
          <w:szCs w:val="24"/>
          <w:highlight w:val="none"/>
        </w:rPr>
      </w:pPr>
      <w:r>
        <w:rPr>
          <w:rFonts w:hint="eastAsia" w:ascii="宋体" w:hAnsi="宋体" w:eastAsia="宋体" w:cs="宋体"/>
          <w:color w:val="auto"/>
          <w:highlight w:val="none"/>
        </w:rPr>
        <w:br w:type="page"/>
      </w:r>
    </w:p>
    <w:p>
      <w:pPr>
        <w:pStyle w:val="15"/>
        <w:rPr>
          <w:rFonts w:hint="eastAsia" w:ascii="宋体" w:hAnsi="宋体" w:eastAsia="宋体" w:cs="宋体"/>
          <w:color w:val="auto"/>
          <w:highlight w:val="none"/>
        </w:rPr>
      </w:pPr>
      <w:r>
        <w:rPr>
          <w:rFonts w:hint="eastAsia" w:ascii="宋体" w:hAnsi="宋体" w:eastAsia="宋体" w:cs="宋体"/>
          <w:color w:val="auto"/>
          <w:highlight w:val="none"/>
        </w:rPr>
        <w:t>附件2：评标办法（综合评估法）</w:t>
      </w:r>
    </w:p>
    <w:p>
      <w:pPr>
        <w:autoSpaceDE w:val="0"/>
        <w:autoSpaceDN w:val="0"/>
        <w:adjustRightInd w:val="0"/>
        <w:snapToGrid w:val="0"/>
        <w:spacing w:line="360" w:lineRule="auto"/>
        <w:ind w:right="113"/>
        <w:jc w:val="both"/>
        <w:rPr>
          <w:rFonts w:hint="eastAsia" w:ascii="宋体" w:hAnsi="宋体" w:eastAsia="宋体" w:cs="宋体"/>
          <w:b/>
          <w:bCs/>
          <w:strike w:val="0"/>
          <w:dstrike w:val="0"/>
          <w:color w:val="auto"/>
          <w:sz w:val="24"/>
          <w:szCs w:val="32"/>
          <w:highlight w:val="none"/>
        </w:rPr>
      </w:pPr>
      <w:r>
        <w:rPr>
          <w:rFonts w:hint="eastAsia" w:ascii="宋体" w:hAnsi="宋体" w:eastAsia="宋体" w:cs="宋体"/>
          <w:b/>
          <w:bCs/>
          <w:strike w:val="0"/>
          <w:dstrike w:val="0"/>
          <w:color w:val="auto"/>
          <w:sz w:val="24"/>
          <w:szCs w:val="32"/>
          <w:highlight w:val="none"/>
        </w:rPr>
        <w:t>评标办法前附表</w:t>
      </w:r>
    </w:p>
    <w:tbl>
      <w:tblPr>
        <w:tblStyle w:val="16"/>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1076"/>
        <w:gridCol w:w="1239"/>
        <w:gridCol w:w="6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219" w:hRule="atLeast"/>
          <w:tblHeader/>
          <w:jc w:val="center"/>
        </w:trPr>
        <w:tc>
          <w:tcPr>
            <w:tcW w:w="2460" w:type="dxa"/>
            <w:gridSpan w:val="2"/>
            <w:noWrap w:val="0"/>
            <w:vAlign w:val="center"/>
          </w:tcPr>
          <w:p>
            <w:pPr>
              <w:adjustRightInd w:val="0"/>
              <w:snapToGrid w:val="0"/>
              <w:spacing w:line="24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条款号</w:t>
            </w:r>
          </w:p>
        </w:tc>
        <w:tc>
          <w:tcPr>
            <w:tcW w:w="7197" w:type="dxa"/>
            <w:noWrap w:val="0"/>
            <w:vAlign w:val="center"/>
          </w:tcPr>
          <w:p>
            <w:pPr>
              <w:adjustRightInd w:val="0"/>
              <w:snapToGrid w:val="0"/>
              <w:spacing w:line="24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strike w:val="0"/>
                <w:dstrike w:val="0"/>
                <w:color w:val="auto"/>
                <w:sz w:val="21"/>
                <w:szCs w:val="21"/>
                <w:highlight w:val="none"/>
              </w:rPr>
              <w:t>评审因素与评审标准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1734" w:hRule="atLeast"/>
          <w:jc w:val="center"/>
        </w:trPr>
        <w:tc>
          <w:tcPr>
            <w:tcW w:w="1143" w:type="dxa"/>
            <w:noWrap w:val="0"/>
            <w:vAlign w:val="center"/>
          </w:tcPr>
          <w:p>
            <w:pPr>
              <w:spacing w:line="24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1</w:t>
            </w:r>
          </w:p>
        </w:tc>
        <w:tc>
          <w:tcPr>
            <w:tcW w:w="1317" w:type="dxa"/>
            <w:noWrap w:val="0"/>
            <w:vAlign w:val="center"/>
          </w:tcPr>
          <w:p>
            <w:pPr>
              <w:spacing w:line="240" w:lineRule="auto"/>
              <w:jc w:val="center"/>
              <w:rPr>
                <w:rFonts w:hint="eastAsia" w:ascii="宋体" w:hAnsi="宋体" w:eastAsia="宋体" w:cs="宋体"/>
                <w:b/>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评标办法</w:t>
            </w:r>
          </w:p>
        </w:tc>
        <w:tc>
          <w:tcPr>
            <w:tcW w:w="7197" w:type="dxa"/>
            <w:noWrap w:val="0"/>
            <w:vAlign w:val="center"/>
          </w:tcPr>
          <w:p>
            <w:pPr>
              <w:snapToGrid w:val="0"/>
              <w:spacing w:line="240" w:lineRule="auto"/>
              <w:ind w:firstLine="420" w:firstLineChars="200"/>
              <w:jc w:val="left"/>
              <w:textAlignment w:val="baseline"/>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本次评标采用综合评估法。评标委员会对满足招标文件实质性要求的投标文件，按照本章第2.2款规定的评分标准进行打分，并按得分由高到低顺序推荐1-3中标候选人。综合评分相等时，评标委员会依次按照以下优先顺序推荐中标候选人：</w:t>
            </w:r>
          </w:p>
          <w:p>
            <w:pPr>
              <w:adjustRightInd w:val="0"/>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（1）服务方案得分较高的投标人优先；</w:t>
            </w:r>
          </w:p>
          <w:p>
            <w:pPr>
              <w:adjustRightInd w:val="0"/>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投标报价</w:t>
            </w:r>
            <w:r>
              <w:rPr>
                <w:rFonts w:hint="eastAsia" w:ascii="宋体" w:hAnsi="宋体" w:eastAsia="宋体" w:cs="宋体"/>
                <w:strike w:val="0"/>
                <w:dstrike w:val="0"/>
                <w:color w:val="auto"/>
                <w:sz w:val="21"/>
                <w:szCs w:val="21"/>
                <w:highlight w:val="none"/>
              </w:rPr>
              <w:t>低的投标人优先；</w:t>
            </w:r>
          </w:p>
          <w:p>
            <w:pPr>
              <w:adjustRightInd w:val="0"/>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（3）投标人满足资格审查条件(业绩最低条件)要求的业绩</w:t>
            </w:r>
            <w:r>
              <w:rPr>
                <w:rFonts w:hint="eastAsia" w:ascii="宋体" w:hAnsi="宋体" w:eastAsia="宋体" w:cs="宋体"/>
                <w:strike w:val="0"/>
                <w:dstrike w:val="0"/>
                <w:color w:val="auto"/>
                <w:sz w:val="21"/>
                <w:szCs w:val="21"/>
                <w:highlight w:val="none"/>
                <w:lang w:val="en-US" w:eastAsia="zh-CN"/>
              </w:rPr>
              <w:t>数量多</w:t>
            </w:r>
            <w:r>
              <w:rPr>
                <w:rFonts w:hint="eastAsia" w:ascii="宋体" w:hAnsi="宋体" w:eastAsia="宋体" w:cs="宋体"/>
                <w:strike w:val="0"/>
                <w:dstrike w:val="0"/>
                <w:color w:val="auto"/>
                <w:sz w:val="21"/>
                <w:szCs w:val="21"/>
                <w:highlight w:val="none"/>
              </w:rPr>
              <w:t>的优先。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420"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2.1.1</w:t>
            </w:r>
          </w:p>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2.1.3</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形式评审与响应性评审标准</w:t>
            </w:r>
          </w:p>
        </w:tc>
        <w:tc>
          <w:tcPr>
            <w:tcW w:w="7197" w:type="dxa"/>
            <w:noWrap w:val="0"/>
            <w:vAlign w:val="top"/>
          </w:tcPr>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（1）投标文件按照招标文件规定的格式、内容填写，字迹清晰可辨：</w:t>
            </w:r>
          </w:p>
          <w:p>
            <w:pPr>
              <w:snapToGrid w:val="0"/>
              <w:spacing w:line="240" w:lineRule="auto"/>
              <w:ind w:left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a.投标函按招标文件规定填报了</w:t>
            </w:r>
            <w:r>
              <w:rPr>
                <w:rFonts w:hint="eastAsia" w:ascii="宋体" w:hAnsi="宋体" w:eastAsia="宋体" w:cs="宋体"/>
                <w:strike w:val="0"/>
                <w:dstrike w:val="0"/>
                <w:color w:val="auto"/>
                <w:sz w:val="21"/>
                <w:szCs w:val="21"/>
                <w:highlight w:val="none"/>
                <w:lang w:val="en-US" w:eastAsia="zh-CN"/>
              </w:rPr>
              <w:t>报价、</w:t>
            </w:r>
            <w:r>
              <w:rPr>
                <w:rFonts w:hint="eastAsia" w:ascii="宋体" w:hAnsi="宋体" w:eastAsia="宋体" w:cs="宋体"/>
                <w:strike w:val="0"/>
                <w:dstrike w:val="0"/>
                <w:color w:val="auto"/>
                <w:sz w:val="21"/>
                <w:szCs w:val="21"/>
                <w:highlight w:val="none"/>
              </w:rPr>
              <w:t>补遗书编号（如有）；</w:t>
            </w:r>
          </w:p>
          <w:p>
            <w:pPr>
              <w:snapToGrid w:val="0"/>
              <w:spacing w:line="240" w:lineRule="auto"/>
              <w:ind w:leftChars="200"/>
              <w:rPr>
                <w:rFonts w:hint="eastAsia" w:ascii="宋体" w:hAnsi="宋体" w:eastAsia="宋体" w:cs="宋体"/>
                <w:strike w:val="0"/>
                <w:dstrike w:val="0"/>
                <w:color w:val="auto"/>
                <w:sz w:val="21"/>
                <w:szCs w:val="21"/>
                <w:highlight w:val="none"/>
                <w:lang w:eastAsia="zh-CN"/>
              </w:rPr>
            </w:pPr>
            <w:r>
              <w:rPr>
                <w:rFonts w:hint="eastAsia" w:ascii="宋体" w:hAnsi="宋体" w:eastAsia="宋体" w:cs="宋体"/>
                <w:strike w:val="0"/>
                <w:dstrike w:val="0"/>
                <w:color w:val="auto"/>
                <w:sz w:val="21"/>
                <w:szCs w:val="21"/>
                <w:highlight w:val="none"/>
              </w:rPr>
              <w:t>b.投标文件组成齐全完整，内容均按规定填写。</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（2）投标文件上法定代表人或其委托代理人的签字、投标人的单位章盖章齐全，符合招标文件规定。</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（3）投标人按照招标文件的规定提供了投标保证金：</w:t>
            </w:r>
          </w:p>
          <w:p>
            <w:pPr>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a.投标保证金金额符合招标文件规定的金额，且投标保证金有效期不少于投标有效期；</w:t>
            </w:r>
          </w:p>
          <w:p>
            <w:pPr>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b.若投标保证金采用电汇或转账形式提交，投标人应在递交投标文件截止时间之前，将投标保证金由投标人的基本账户转入招标人指定账户；</w:t>
            </w:r>
          </w:p>
          <w:p>
            <w:pPr>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c.若投标保证金采用银行保函形式提交，银行保函的格式、开具保函的银行均满足招标文件要求，且在递交投标文件截止时间之前向招标人提交了银行保函原件。</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 xml:space="preserve">（4）投标人法定代表人授权委托代理人签署投标文件的，须提交授权委托书，授权委托书的签字盖章符合招标文件规定。 </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（5）投标人法定代表人亲自签署投标文件的，提供了法定代表人身份证明，法定代表人身份证明的签字盖章符合招标文件规定。</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（6）投标人未以联合体形式投标。</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（7）投标人未对本项目提出分包计划。</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（8）同一投标人未提交两个以上不同的投标文件。</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9</w:t>
            </w:r>
            <w:r>
              <w:rPr>
                <w:rFonts w:hint="eastAsia" w:ascii="宋体" w:hAnsi="宋体" w:eastAsia="宋体" w:cs="宋体"/>
                <w:strike w:val="0"/>
                <w:dstrike w:val="0"/>
                <w:color w:val="auto"/>
                <w:sz w:val="21"/>
                <w:szCs w:val="21"/>
                <w:highlight w:val="none"/>
              </w:rPr>
              <w:t>）投标文件载明的招标项目服务期限符合招标文件规定。</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0</w:t>
            </w:r>
            <w:r>
              <w:rPr>
                <w:rFonts w:hint="eastAsia" w:ascii="宋体" w:hAnsi="宋体" w:eastAsia="宋体" w:cs="宋体"/>
                <w:strike w:val="0"/>
                <w:dstrike w:val="0"/>
                <w:color w:val="auto"/>
                <w:sz w:val="21"/>
                <w:szCs w:val="21"/>
                <w:highlight w:val="none"/>
              </w:rPr>
              <w:t>）投标文件对招标文件的实质性要求和条件作出响应。</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rPr>
              <w:t>）权利义务符合招标文件规定：</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a.投标人应接受招标文件规定的风险划分原则，未提出新的风险划分办法；</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b.投标人未增加发包人的责任范围，或减少投标人义务；</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c.投标人未提出不同的支付办法；</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d.投标人对合同纠纷、事故处理办法未提出异议；</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e.投标人在投标活动中无欺诈行为；</w:t>
            </w:r>
          </w:p>
          <w:p>
            <w:pPr>
              <w:tabs>
                <w:tab w:val="left" w:pos="3060"/>
              </w:tabs>
              <w:spacing w:line="240" w:lineRule="auto"/>
              <w:ind w:leftChars="10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f.投标人未对合同条款有重要保留。</w:t>
            </w:r>
          </w:p>
          <w:p>
            <w:pPr>
              <w:tabs>
                <w:tab w:val="left" w:pos="3060"/>
              </w:tabs>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w:t>
            </w:r>
            <w:r>
              <w:rPr>
                <w:rFonts w:hint="eastAsia" w:ascii="宋体" w:hAnsi="宋体" w:eastAsia="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 投标人名称与营业执照</w:t>
            </w:r>
            <w:r>
              <w:rPr>
                <w:rFonts w:hint="eastAsia" w:ascii="宋体" w:hAnsi="宋体" w:eastAsia="宋体" w:cs="宋体"/>
                <w:strike w:val="0"/>
                <w:dstrike w:val="0"/>
                <w:color w:val="auto"/>
                <w:sz w:val="21"/>
                <w:szCs w:val="21"/>
                <w:highlight w:val="none"/>
                <w:lang w:eastAsia="zh-CN"/>
              </w:rPr>
              <w:t>、</w:t>
            </w:r>
            <w:r>
              <w:rPr>
                <w:rFonts w:hint="eastAsia" w:ascii="宋体" w:hAnsi="宋体" w:eastAsia="宋体" w:cs="宋体"/>
                <w:strike w:val="0"/>
                <w:dstrike w:val="0"/>
                <w:color w:val="auto"/>
                <w:sz w:val="21"/>
                <w:szCs w:val="21"/>
                <w:highlight w:val="none"/>
                <w:lang w:val="en-US" w:eastAsia="zh-CN"/>
              </w:rPr>
              <w:t>印刷经营许可证</w:t>
            </w:r>
            <w:r>
              <w:rPr>
                <w:rFonts w:hint="eastAsia" w:ascii="宋体" w:hAnsi="宋体" w:eastAsia="宋体" w:cs="宋体"/>
                <w:strike w:val="0"/>
                <w:dstrike w:val="0"/>
                <w:color w:val="auto"/>
                <w:sz w:val="21"/>
                <w:szCs w:val="21"/>
                <w:highlight w:val="none"/>
              </w:rPr>
              <w:t>一致，如企业名称有变更的，应提供其变更记录或相关部门的合法批件复印件。</w:t>
            </w:r>
          </w:p>
          <w:p>
            <w:pPr>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13</w:t>
            </w:r>
            <w:r>
              <w:rPr>
                <w:rFonts w:hint="eastAsia" w:ascii="宋体" w:hAnsi="宋体" w:eastAsia="宋体" w:cs="宋体"/>
                <w:strike w:val="0"/>
                <w:dstrike w:val="0"/>
                <w:color w:val="auto"/>
                <w:sz w:val="21"/>
                <w:szCs w:val="21"/>
                <w:highlight w:val="none"/>
              </w:rPr>
              <w:t>) 投标报价中的</w:t>
            </w:r>
            <w:r>
              <w:rPr>
                <w:rFonts w:hint="eastAsia" w:ascii="宋体" w:hAnsi="宋体" w:eastAsia="宋体" w:cs="宋体"/>
                <w:color w:val="auto"/>
                <w:sz w:val="21"/>
                <w:szCs w:val="21"/>
                <w:highlight w:val="none"/>
                <w:lang w:val="en-US"/>
              </w:rPr>
              <w:t>综合优惠折扣率报价</w:t>
            </w:r>
            <w:r>
              <w:rPr>
                <w:rFonts w:hint="eastAsia" w:ascii="宋体" w:hAnsi="宋体" w:eastAsia="宋体" w:cs="宋体"/>
                <w:strike w:val="0"/>
                <w:dstrike w:val="0"/>
                <w:color w:val="auto"/>
                <w:sz w:val="21"/>
                <w:szCs w:val="21"/>
                <w:highlight w:val="none"/>
              </w:rPr>
              <w:t>未超过</w:t>
            </w:r>
            <w:r>
              <w:rPr>
                <w:rFonts w:hint="eastAsia" w:ascii="宋体" w:hAnsi="宋体" w:cs="宋体"/>
                <w:strike w:val="0"/>
                <w:dstrike w:val="0"/>
                <w:color w:val="auto"/>
                <w:sz w:val="21"/>
                <w:szCs w:val="21"/>
                <w:highlight w:val="none"/>
                <w:lang w:val="en-US" w:eastAsia="zh-CN"/>
              </w:rPr>
              <w:t>100%</w:t>
            </w:r>
            <w:r>
              <w:rPr>
                <w:rFonts w:hint="eastAsia" w:ascii="宋体" w:hAnsi="宋体" w:eastAsia="宋体" w:cs="宋体"/>
                <w:strike w:val="0"/>
                <w:dstrike w:val="0"/>
                <w:color w:val="auto"/>
                <w:sz w:val="21"/>
                <w:szCs w:val="21"/>
                <w:highlight w:val="none"/>
              </w:rPr>
              <w:t>。</w:t>
            </w:r>
          </w:p>
          <w:p>
            <w:pPr>
              <w:tabs>
                <w:tab w:val="left" w:pos="3060"/>
              </w:tabs>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14</w:t>
            </w:r>
            <w:r>
              <w:rPr>
                <w:rFonts w:hint="eastAsia" w:ascii="宋体" w:hAnsi="宋体" w:eastAsia="宋体" w:cs="宋体"/>
                <w:strike w:val="0"/>
                <w:dstrike w:val="0"/>
                <w:color w:val="auto"/>
                <w:sz w:val="21"/>
                <w:szCs w:val="21"/>
                <w:highlight w:val="none"/>
              </w:rPr>
              <w:t>) 投标报价中报价的金额能够确定具体数值。</w:t>
            </w:r>
          </w:p>
          <w:p>
            <w:pPr>
              <w:tabs>
                <w:tab w:val="left" w:pos="3060"/>
              </w:tabs>
              <w:snapToGrid w:val="0"/>
              <w:spacing w:line="240" w:lineRule="auto"/>
              <w:ind w:firstLine="420" w:firstLineChars="2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lang w:val="en-US" w:eastAsia="zh-CN"/>
              </w:rPr>
              <w:t>15</w:t>
            </w:r>
            <w:r>
              <w:rPr>
                <w:rFonts w:hint="eastAsia" w:ascii="宋体" w:hAnsi="宋体" w:eastAsia="宋体" w:cs="宋体"/>
                <w:strike w:val="0"/>
                <w:dstrike w:val="0"/>
                <w:color w:val="auto"/>
                <w:sz w:val="21"/>
                <w:szCs w:val="21"/>
                <w:highlight w:val="none"/>
              </w:rPr>
              <w:t>) 同一投标人未提交两个以上不同的投标报价。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2.1.2</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资格评审</w:t>
            </w:r>
          </w:p>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标准</w:t>
            </w:r>
          </w:p>
        </w:tc>
        <w:tc>
          <w:tcPr>
            <w:tcW w:w="7197" w:type="dxa"/>
            <w:noWrap w:val="0"/>
            <w:vAlign w:val="top"/>
          </w:tcPr>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（1）投标人须为在中华人民共和国境内注册的独立法人，在人员、设备、资金等方面具有承担本项目的能力，具备有效的营业执照及印刷经营许可证；</w:t>
            </w:r>
          </w:p>
          <w:p>
            <w:pPr>
              <w:pStyle w:val="7"/>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rPr>
              <w:t>）投标人的类似项目业绩符合招标文件规定；</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rPr>
              <w:t>）投标人的信誉符合招标文件规定；</w:t>
            </w:r>
          </w:p>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w:t>
            </w:r>
            <w:r>
              <w:rPr>
                <w:rFonts w:hint="eastAsia" w:ascii="宋体" w:hAnsi="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rPr>
              <w:t>）投标人不存在第二章“投标人须知”第1.4.3项和1.4.4项规定的任何一种情形。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90" w:hRule="atLeast"/>
          <w:jc w:val="center"/>
        </w:trPr>
        <w:tc>
          <w:tcPr>
            <w:tcW w:w="1143" w:type="dxa"/>
            <w:noWrap w:val="0"/>
            <w:vAlign w:val="center"/>
          </w:tcPr>
          <w:p>
            <w:pPr>
              <w:wordWrap w:val="0"/>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 w:val="21"/>
                <w:szCs w:val="21"/>
                <w:highlight w:val="none"/>
                <w:shd w:val="clear" w:color="auto" w:fill="FFFFFF" w:themeFill="background1"/>
                <w:lang w:val="en-US" w:eastAsia="zh-CN"/>
              </w:rPr>
              <w:t>2.2</w:t>
            </w:r>
          </w:p>
        </w:tc>
        <w:tc>
          <w:tcPr>
            <w:tcW w:w="1317" w:type="dxa"/>
            <w:noWrap w:val="0"/>
            <w:vAlign w:val="center"/>
          </w:tcPr>
          <w:p>
            <w:pPr>
              <w:wordWrap w:val="0"/>
              <w:adjustRightInd w:val="0"/>
              <w:snapToGrid w:val="0"/>
              <w:spacing w:line="240" w:lineRule="auto"/>
              <w:jc w:val="center"/>
              <w:rPr>
                <w:rFonts w:hint="eastAsia" w:ascii="宋体" w:hAnsi="宋体" w:eastAsia="宋体" w:cs="宋体"/>
                <w:color w:val="auto"/>
                <w:sz w:val="21"/>
                <w:szCs w:val="21"/>
                <w:highlight w:val="none"/>
                <w:shd w:val="clear" w:color="auto" w:fill="FFFFFF" w:themeFill="background1"/>
              </w:rPr>
            </w:pPr>
            <w:r>
              <w:rPr>
                <w:rFonts w:hint="eastAsia" w:ascii="宋体" w:hAnsi="宋体" w:eastAsia="宋体" w:cs="宋体"/>
                <w:color w:val="auto"/>
                <w:sz w:val="21"/>
                <w:szCs w:val="21"/>
                <w:highlight w:val="none"/>
                <w:shd w:val="clear" w:color="auto" w:fill="FFFFFF" w:themeFill="background1"/>
              </w:rPr>
              <w:t>详细评审</w:t>
            </w:r>
          </w:p>
          <w:p>
            <w:pPr>
              <w:wordWrap w:val="0"/>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标准</w:t>
            </w:r>
          </w:p>
        </w:tc>
        <w:tc>
          <w:tcPr>
            <w:tcW w:w="7197" w:type="dxa"/>
            <w:noWrap w:val="0"/>
            <w:vAlign w:val="top"/>
          </w:tcPr>
          <w:p>
            <w:pPr>
              <w:tabs>
                <w:tab w:val="left" w:pos="3060"/>
              </w:tabs>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color w:val="auto"/>
                <w:sz w:val="21"/>
                <w:szCs w:val="21"/>
                <w:highlight w:val="none"/>
                <w:shd w:val="clear" w:color="auto" w:fill="FFFFFF" w:themeFill="background1"/>
              </w:rPr>
              <w:t>报价遗漏项</w:t>
            </w:r>
            <w:r>
              <w:rPr>
                <w:rFonts w:hint="eastAsia" w:ascii="宋体" w:hAnsi="宋体" w:eastAsia="宋体" w:cs="宋体"/>
                <w:color w:val="auto"/>
                <w:sz w:val="21"/>
                <w:szCs w:val="21"/>
                <w:highlight w:val="none"/>
                <w:shd w:val="clear" w:color="auto" w:fill="FFFFFF" w:themeFill="background1"/>
                <w:lang w:eastAsia="zh-CN"/>
              </w:rPr>
              <w:t>：</w:t>
            </w:r>
            <w:r>
              <w:rPr>
                <w:rFonts w:hint="eastAsia" w:ascii="宋体" w:hAnsi="宋体" w:eastAsia="宋体" w:cs="宋体"/>
                <w:color w:val="auto"/>
                <w:sz w:val="21"/>
                <w:szCs w:val="21"/>
                <w:highlight w:val="none"/>
                <w:shd w:val="clear" w:color="auto" w:fill="FFFFFF" w:themeFill="background1"/>
              </w:rPr>
              <w:t>招标范围已有但投标人漏报的内容，则视为缺漏项已包含在投标总报价之中。对上述调整投标人应予以接受，否则评标委员会可以否决其投标。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4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rPr>
              <w:t>.1</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分值构成</w:t>
            </w:r>
          </w:p>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（总分100分）</w:t>
            </w:r>
          </w:p>
        </w:tc>
        <w:tc>
          <w:tcPr>
            <w:tcW w:w="7197" w:type="dxa"/>
            <w:noWrap w:val="0"/>
            <w:vAlign w:val="center"/>
          </w:tcPr>
          <w:p>
            <w:pPr>
              <w:spacing w:line="240" w:lineRule="auto"/>
              <w:ind w:firstLine="210" w:firstLineChars="100"/>
              <w:rPr>
                <w:rFonts w:hint="eastAsia" w:ascii="宋体" w:hAnsi="宋体" w:eastAsia="宋体" w:cs="宋体"/>
                <w:bCs/>
                <w:strike w:val="0"/>
                <w:dstrike w:val="0"/>
                <w:color w:val="auto"/>
                <w:sz w:val="21"/>
                <w:szCs w:val="21"/>
                <w:highlight w:val="none"/>
              </w:rPr>
            </w:pPr>
            <w:r>
              <w:rPr>
                <w:rFonts w:hint="eastAsia" w:ascii="宋体" w:hAnsi="宋体" w:eastAsia="宋体" w:cs="宋体"/>
                <w:bCs/>
                <w:strike w:val="0"/>
                <w:dstrike w:val="0"/>
                <w:color w:val="auto"/>
                <w:sz w:val="21"/>
                <w:szCs w:val="21"/>
                <w:highlight w:val="none"/>
              </w:rPr>
              <w:t>服务方案：</w:t>
            </w:r>
            <w:r>
              <w:rPr>
                <w:rFonts w:hint="eastAsia" w:ascii="宋体" w:hAnsi="宋体" w:eastAsia="宋体" w:cs="宋体"/>
                <w:bCs/>
                <w:strike w:val="0"/>
                <w:dstrike w:val="0"/>
                <w:color w:val="auto"/>
                <w:sz w:val="21"/>
                <w:szCs w:val="21"/>
                <w:highlight w:val="none"/>
                <w:u w:val="single"/>
                <w:lang w:val="en-US" w:eastAsia="zh-CN"/>
              </w:rPr>
              <w:t xml:space="preserve"> 50 </w:t>
            </w:r>
            <w:r>
              <w:rPr>
                <w:rFonts w:hint="eastAsia" w:ascii="宋体" w:hAnsi="宋体" w:eastAsia="宋体" w:cs="宋体"/>
                <w:bCs/>
                <w:strike w:val="0"/>
                <w:dstrike w:val="0"/>
                <w:color w:val="auto"/>
                <w:sz w:val="21"/>
                <w:szCs w:val="21"/>
                <w:highlight w:val="none"/>
              </w:rPr>
              <w:t>分</w:t>
            </w:r>
          </w:p>
          <w:p>
            <w:pPr>
              <w:spacing w:line="240" w:lineRule="auto"/>
              <w:ind w:firstLine="210" w:firstLineChars="100"/>
              <w:rPr>
                <w:rFonts w:hint="eastAsia" w:ascii="宋体" w:hAnsi="宋体" w:eastAsia="宋体" w:cs="宋体"/>
                <w:bCs/>
                <w:strike w:val="0"/>
                <w:dstrike w:val="0"/>
                <w:color w:val="auto"/>
                <w:sz w:val="21"/>
                <w:szCs w:val="21"/>
                <w:highlight w:val="none"/>
                <w:u w:val="single"/>
                <w:lang w:val="en-US" w:eastAsia="zh-CN"/>
              </w:rPr>
            </w:pPr>
            <w:r>
              <w:rPr>
                <w:rFonts w:hint="eastAsia" w:ascii="宋体" w:hAnsi="宋体" w:eastAsia="宋体" w:cs="宋体"/>
                <w:bCs/>
                <w:strike w:val="0"/>
                <w:dstrike w:val="0"/>
                <w:color w:val="auto"/>
                <w:sz w:val="21"/>
                <w:szCs w:val="21"/>
                <w:highlight w:val="none"/>
                <w:lang w:val="en-US" w:eastAsia="zh-CN"/>
              </w:rPr>
              <w:t>业绩</w:t>
            </w:r>
            <w:r>
              <w:rPr>
                <w:rFonts w:hint="eastAsia" w:ascii="宋体" w:hAnsi="宋体" w:cs="宋体"/>
                <w:bCs/>
                <w:strike w:val="0"/>
                <w:dstrike w:val="0"/>
                <w:color w:val="auto"/>
                <w:sz w:val="21"/>
                <w:szCs w:val="21"/>
                <w:highlight w:val="none"/>
                <w:lang w:val="en-US" w:eastAsia="zh-CN"/>
              </w:rPr>
              <w:t>评审</w:t>
            </w:r>
            <w:r>
              <w:rPr>
                <w:rFonts w:hint="eastAsia" w:ascii="宋体" w:hAnsi="宋体" w:eastAsia="宋体" w:cs="宋体"/>
                <w:bCs/>
                <w:strike w:val="0"/>
                <w:dstrike w:val="0"/>
                <w:color w:val="auto"/>
                <w:sz w:val="21"/>
                <w:szCs w:val="21"/>
                <w:highlight w:val="none"/>
                <w:lang w:val="en-US" w:eastAsia="zh-CN"/>
              </w:rPr>
              <w:t>：</w:t>
            </w:r>
            <w:r>
              <w:rPr>
                <w:rFonts w:hint="eastAsia" w:ascii="宋体" w:hAnsi="宋体" w:eastAsia="宋体" w:cs="宋体"/>
                <w:bCs/>
                <w:strike w:val="0"/>
                <w:dstrike w:val="0"/>
                <w:color w:val="auto"/>
                <w:sz w:val="21"/>
                <w:szCs w:val="21"/>
                <w:highlight w:val="none"/>
                <w:u w:val="single"/>
                <w:lang w:val="en-US" w:eastAsia="zh-CN"/>
              </w:rPr>
              <w:t xml:space="preserve"> 20 分</w:t>
            </w:r>
          </w:p>
          <w:p>
            <w:pPr>
              <w:adjustRightInd w:val="0"/>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lang w:val="en-US" w:eastAsia="zh-CN"/>
              </w:rPr>
              <w:t>投标报价</w:t>
            </w:r>
            <w:r>
              <w:rPr>
                <w:rFonts w:hint="eastAsia" w:ascii="宋体" w:hAnsi="宋体" w:eastAsia="宋体" w:cs="宋体"/>
                <w:strike w:val="0"/>
                <w:dstrike w:val="0"/>
                <w:color w:val="auto"/>
                <w:sz w:val="21"/>
                <w:szCs w:val="21"/>
                <w:highlight w:val="none"/>
              </w:rPr>
              <w:t>：</w:t>
            </w:r>
            <w:r>
              <w:rPr>
                <w:rFonts w:hint="eastAsia" w:ascii="宋体" w:hAnsi="宋体" w:eastAsia="宋体" w:cs="宋体"/>
                <w:strike w:val="0"/>
                <w:dstrike w:val="0"/>
                <w:color w:val="auto"/>
                <w:sz w:val="21"/>
                <w:szCs w:val="21"/>
                <w:highlight w:val="none"/>
                <w:u w:val="single"/>
                <w:lang w:val="en-US" w:eastAsia="zh-CN"/>
              </w:rPr>
              <w:t xml:space="preserve"> 30 </w:t>
            </w:r>
            <w:r>
              <w:rPr>
                <w:rFonts w:hint="eastAsia" w:ascii="宋体" w:hAnsi="宋体" w:eastAsia="宋体" w:cs="宋体"/>
                <w:strike w:val="0"/>
                <w:dstrike w:val="0"/>
                <w:color w:val="auto"/>
                <w:sz w:val="21"/>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33"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rPr>
              <w:t>.2</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评标基准价计算方法</w:t>
            </w:r>
          </w:p>
        </w:tc>
        <w:tc>
          <w:tcPr>
            <w:tcW w:w="7197" w:type="dxa"/>
            <w:noWrap w:val="0"/>
            <w:vAlign w:val="center"/>
          </w:tcPr>
          <w:p>
            <w:pPr>
              <w:pStyle w:val="2"/>
              <w:spacing w:line="240" w:lineRule="auto"/>
              <w:ind w:firstLine="0" w:firstLineChars="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评标基准价的计算：</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1、评标价的确定：</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评标价=投标函报价</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2、评标价平均值的计算：</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cs="宋体"/>
                <w:strike w:val="0"/>
                <w:dstrike w:val="0"/>
                <w:color w:val="auto"/>
                <w:sz w:val="21"/>
                <w:szCs w:val="21"/>
                <w:highlight w:val="none"/>
                <w:lang w:val="en-US" w:eastAsia="zh-CN"/>
              </w:rPr>
              <w:t>除未能通过初步评审的投标报价</w:t>
            </w:r>
            <w:r>
              <w:rPr>
                <w:rFonts w:hint="eastAsia" w:ascii="宋体" w:hAnsi="宋体" w:eastAsia="宋体" w:cs="宋体"/>
                <w:strike w:val="0"/>
                <w:dstrike w:val="0"/>
                <w:color w:val="auto"/>
                <w:sz w:val="21"/>
                <w:szCs w:val="21"/>
                <w:highlight w:val="none"/>
              </w:rPr>
              <w:t>被</w:t>
            </w:r>
            <w:r>
              <w:rPr>
                <w:rFonts w:hint="eastAsia" w:ascii="宋体" w:hAnsi="宋体" w:cs="宋体"/>
                <w:strike w:val="0"/>
                <w:dstrike w:val="0"/>
                <w:color w:val="auto"/>
                <w:sz w:val="21"/>
                <w:szCs w:val="21"/>
                <w:highlight w:val="none"/>
                <w:lang w:val="en-US" w:eastAsia="zh-CN"/>
              </w:rPr>
              <w:t>认定</w:t>
            </w:r>
            <w:r>
              <w:rPr>
                <w:rFonts w:hint="eastAsia" w:ascii="宋体" w:hAnsi="宋体" w:eastAsia="宋体" w:cs="宋体"/>
                <w:strike w:val="0"/>
                <w:dstrike w:val="0"/>
                <w:color w:val="auto"/>
                <w:sz w:val="21"/>
                <w:szCs w:val="21"/>
                <w:highlight w:val="none"/>
              </w:rPr>
              <w:t>为不进入评标基准价计算的投标报价之外，</w:t>
            </w:r>
            <w:r>
              <w:rPr>
                <w:rFonts w:hint="eastAsia" w:ascii="宋体" w:hAnsi="宋体" w:cs="宋体"/>
                <w:strike w:val="0"/>
                <w:dstrike w:val="0"/>
                <w:color w:val="auto"/>
                <w:sz w:val="21"/>
                <w:szCs w:val="21"/>
                <w:highlight w:val="none"/>
                <w:lang w:val="en-US" w:eastAsia="zh-CN"/>
              </w:rPr>
              <w:t>其余所有通过初步评审的</w:t>
            </w:r>
            <w:r>
              <w:rPr>
                <w:rFonts w:hint="eastAsia" w:ascii="宋体" w:hAnsi="宋体" w:eastAsia="宋体" w:cs="宋体"/>
                <w:strike w:val="0"/>
                <w:dstrike w:val="0"/>
                <w:color w:val="auto"/>
                <w:sz w:val="21"/>
                <w:szCs w:val="21"/>
                <w:highlight w:val="none"/>
              </w:rPr>
              <w:t>投标人的评标价去掉一个最高值和一个最低值后的算数平均值即为评标价平均值（如果参与评标价平均值计算的有效投标人少于5家时，则计算评标价平均值时不去掉最高值和最低值）。</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 xml:space="preserve">3、评标基准价的确定： </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 xml:space="preserve">评标价平均值直接作为评标基准价。 </w:t>
            </w:r>
          </w:p>
          <w:p>
            <w:pPr>
              <w:pStyle w:val="2"/>
              <w:spacing w:line="240" w:lineRule="auto"/>
              <w:ind w:left="0" w:leftChars="0"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评标基准价保留小数点后两位，小数点后第三位四舍五入。</w:t>
            </w:r>
          </w:p>
          <w:p>
            <w:pPr>
              <w:adjustRightInd w:val="0"/>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在评标过程中，评标委员会应对招标人计算的评标基准价进行复核，存在计算错误的应予以修正并在评标报告中作出说明。除此之外，评标基准价在整个评标期间保持不变，不随任何因素发生变化。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2.</w:t>
            </w:r>
            <w:r>
              <w:rPr>
                <w:rFonts w:hint="eastAsia" w:ascii="宋体" w:hAnsi="宋体" w:eastAsia="宋体" w:cs="宋体"/>
                <w:strike w:val="0"/>
                <w:dstrike w:val="0"/>
                <w:color w:val="auto"/>
                <w:sz w:val="21"/>
                <w:szCs w:val="21"/>
                <w:highlight w:val="none"/>
                <w:lang w:val="en-US" w:eastAsia="zh-CN"/>
              </w:rPr>
              <w:t>3</w:t>
            </w:r>
            <w:r>
              <w:rPr>
                <w:rFonts w:hint="eastAsia" w:ascii="宋体" w:hAnsi="宋体" w:eastAsia="宋体" w:cs="宋体"/>
                <w:strike w:val="0"/>
                <w:dstrike w:val="0"/>
                <w:color w:val="auto"/>
                <w:sz w:val="21"/>
                <w:szCs w:val="21"/>
                <w:highlight w:val="none"/>
              </w:rPr>
              <w:t>.3</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评标价的偏差率计算</w:t>
            </w:r>
          </w:p>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公式</w:t>
            </w:r>
          </w:p>
        </w:tc>
        <w:tc>
          <w:tcPr>
            <w:tcW w:w="7197" w:type="dxa"/>
            <w:noWrap w:val="0"/>
            <w:vAlign w:val="center"/>
          </w:tcPr>
          <w:p>
            <w:pPr>
              <w:adjustRightInd w:val="0"/>
              <w:snapToGrid w:val="0"/>
              <w:spacing w:line="240" w:lineRule="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偏差率=100%×（投标人评标价-评标基准价）/评标基准价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trHeight w:val="662" w:hRule="atLeast"/>
          <w:jc w:val="center"/>
        </w:trPr>
        <w:tc>
          <w:tcPr>
            <w:tcW w:w="1143"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3.6.1</w:t>
            </w:r>
          </w:p>
        </w:tc>
        <w:tc>
          <w:tcPr>
            <w:tcW w:w="1317" w:type="dxa"/>
            <w:noWrap w:val="0"/>
            <w:vAlign w:val="center"/>
          </w:tcPr>
          <w:p>
            <w:pPr>
              <w:adjustRightInd w:val="0"/>
              <w:snapToGrid w:val="0"/>
              <w:spacing w:line="240" w:lineRule="auto"/>
              <w:jc w:val="center"/>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信息查询</w:t>
            </w:r>
          </w:p>
        </w:tc>
        <w:tc>
          <w:tcPr>
            <w:tcW w:w="7197" w:type="dxa"/>
            <w:noWrap w:val="0"/>
            <w:vAlign w:val="center"/>
          </w:tcPr>
          <w:p>
            <w:pPr>
              <w:adjustRightInd w:val="0"/>
              <w:snapToGrid w:val="0"/>
              <w:spacing w:line="240" w:lineRule="auto"/>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在评标过程中，评标委员会应对以下信息进行查询：</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评标委员会评标时在“国家企业信用信息公示系统”和“信用中国”网站对投标人的信用情况进行查询，若投标人存在“国家企业信用信息公示系统” 被列入严重违法失信企业名单（不含分公司）或在“信用中国”网站“被</w:t>
            </w:r>
            <w:r>
              <w:rPr>
                <w:rFonts w:hint="eastAsia" w:ascii="宋体" w:hAnsi="宋体" w:eastAsia="宋体" w:cs="宋体"/>
                <w:strike w:val="0"/>
                <w:dstrike w:val="0"/>
                <w:color w:val="auto"/>
                <w:sz w:val="21"/>
                <w:szCs w:val="21"/>
                <w:highlight w:val="none"/>
                <w:lang w:val="en-US" w:eastAsia="zh-CN"/>
              </w:rPr>
              <w:t>列入</w:t>
            </w:r>
            <w:r>
              <w:rPr>
                <w:rFonts w:hint="eastAsia" w:ascii="宋体" w:hAnsi="宋体" w:eastAsia="宋体" w:cs="宋体"/>
                <w:strike w:val="0"/>
                <w:dstrike w:val="0"/>
                <w:color w:val="auto"/>
                <w:sz w:val="21"/>
                <w:szCs w:val="21"/>
                <w:highlight w:val="none"/>
              </w:rPr>
              <w:t>失信被执行人、经营异常名录信息、重大税收违法失信主体和政府采购严重违法失信行为记录名单（均不含分公司）情形的，评标委员会应否决其投标。</w:t>
            </w:r>
          </w:p>
          <w:p>
            <w:pPr>
              <w:snapToGrid w:val="0"/>
              <w:spacing w:line="240" w:lineRule="auto"/>
              <w:ind w:firstLine="210" w:firstLineChars="100"/>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若投标人未提供相关网页截图或所附截图与核查结果不一致的，评标委员会应否决其投标。</w:t>
            </w:r>
          </w:p>
        </w:tc>
      </w:tr>
    </w:tbl>
    <w:p>
      <w:pPr>
        <w:autoSpaceDE w:val="0"/>
        <w:autoSpaceDN w:val="0"/>
        <w:adjustRightInd w:val="0"/>
        <w:snapToGrid w:val="0"/>
        <w:spacing w:line="360" w:lineRule="auto"/>
        <w:ind w:left="119" w:right="113"/>
        <w:jc w:val="left"/>
        <w:rPr>
          <w:rFonts w:hint="eastAsia" w:ascii="宋体" w:hAnsi="宋体" w:eastAsia="宋体" w:cs="宋体"/>
          <w:strike w:val="0"/>
          <w:dstrike w:val="0"/>
          <w:color w:val="auto"/>
          <w:highlight w:val="none"/>
        </w:rPr>
      </w:pPr>
    </w:p>
    <w:p>
      <w:pPr>
        <w:rPr>
          <w:rFonts w:hint="eastAsia" w:ascii="宋体" w:hAnsi="宋体" w:eastAsia="宋体" w:cs="宋体"/>
          <w:b/>
          <w:bCs/>
          <w:strike w:val="0"/>
          <w:dstrike w:val="0"/>
          <w:color w:val="auto"/>
          <w:sz w:val="24"/>
          <w:szCs w:val="24"/>
          <w:highlight w:val="none"/>
        </w:rPr>
      </w:pPr>
      <w:r>
        <w:rPr>
          <w:rFonts w:hint="eastAsia" w:ascii="宋体" w:hAnsi="宋体" w:eastAsia="宋体" w:cs="宋体"/>
          <w:b/>
          <w:bCs/>
          <w:strike w:val="0"/>
          <w:dstrike w:val="0"/>
          <w:color w:val="auto"/>
          <w:sz w:val="24"/>
          <w:szCs w:val="24"/>
          <w:highlight w:val="none"/>
        </w:rPr>
        <w:br w:type="page"/>
      </w:r>
    </w:p>
    <w:p>
      <w:pPr>
        <w:pStyle w:val="21"/>
        <w:jc w:val="left"/>
        <w:outlineLvl w:val="0"/>
        <w:rPr>
          <w:rFonts w:hint="eastAsia" w:ascii="宋体" w:hAnsi="宋体" w:eastAsia="宋体" w:cs="宋体"/>
          <w:b/>
          <w:bCs/>
          <w:strike w:val="0"/>
          <w:dstrike w:val="0"/>
          <w:color w:val="auto"/>
          <w:sz w:val="24"/>
          <w:szCs w:val="24"/>
          <w:highlight w:val="none"/>
          <w:lang w:eastAsia="zh-CN"/>
        </w:rPr>
      </w:pPr>
      <w:r>
        <w:rPr>
          <w:rFonts w:hint="eastAsia" w:ascii="宋体" w:hAnsi="宋体" w:eastAsia="宋体" w:cs="宋体"/>
          <w:b/>
          <w:bCs/>
          <w:strike w:val="0"/>
          <w:dstrike w:val="0"/>
          <w:color w:val="auto"/>
          <w:sz w:val="24"/>
          <w:szCs w:val="24"/>
          <w:highlight w:val="none"/>
        </w:rPr>
        <w:t>评分</w:t>
      </w:r>
      <w:r>
        <w:rPr>
          <w:rFonts w:hint="eastAsia" w:ascii="宋体" w:hAnsi="宋体" w:eastAsia="宋体" w:cs="宋体"/>
          <w:b/>
          <w:bCs/>
          <w:strike w:val="0"/>
          <w:dstrike w:val="0"/>
          <w:color w:val="auto"/>
          <w:sz w:val="24"/>
          <w:szCs w:val="24"/>
          <w:highlight w:val="none"/>
          <w:lang w:val="en-US" w:eastAsia="zh-CN"/>
        </w:rPr>
        <w:t>标准</w:t>
      </w:r>
    </w:p>
    <w:p>
      <w:pPr>
        <w:pStyle w:val="21"/>
        <w:jc w:val="left"/>
        <w:outlineLvl w:val="0"/>
        <w:rPr>
          <w:rFonts w:hint="eastAsia" w:ascii="宋体" w:hAnsi="宋体" w:eastAsia="宋体" w:cs="宋体"/>
          <w:strike w:val="0"/>
          <w:dstrike w:val="0"/>
          <w:color w:val="auto"/>
          <w:sz w:val="21"/>
          <w:szCs w:val="21"/>
          <w:highlight w:val="none"/>
        </w:rPr>
      </w:pPr>
    </w:p>
    <w:tbl>
      <w:tblPr>
        <w:tblStyle w:val="16"/>
        <w:tblW w:w="93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065"/>
        <w:gridCol w:w="1940"/>
        <w:gridCol w:w="4040"/>
        <w:gridCol w:w="1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951" w:type="dxa"/>
            <w:gridSpan w:val="2"/>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条款号</w:t>
            </w:r>
          </w:p>
        </w:tc>
        <w:tc>
          <w:tcPr>
            <w:tcW w:w="1940" w:type="dxa"/>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评分因素</w:t>
            </w:r>
          </w:p>
        </w:tc>
        <w:tc>
          <w:tcPr>
            <w:tcW w:w="5450" w:type="dxa"/>
            <w:gridSpan w:val="2"/>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2.</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.4（1）</w:t>
            </w:r>
          </w:p>
        </w:tc>
        <w:tc>
          <w:tcPr>
            <w:tcW w:w="1065"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服务方案</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评分标准</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（50分）</w:t>
            </w:r>
          </w:p>
        </w:tc>
        <w:tc>
          <w:tcPr>
            <w:tcW w:w="1940"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整体服务方案</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w:t>
            </w:r>
            <w:r>
              <w:rPr>
                <w:rFonts w:hint="eastAsia" w:ascii="宋体" w:hAnsi="宋体" w:cs="宋体"/>
                <w:b w:val="0"/>
                <w:bCs/>
                <w:strike w:val="0"/>
                <w:dstrike w:val="0"/>
                <w:color w:val="auto"/>
                <w:sz w:val="21"/>
                <w:szCs w:val="21"/>
                <w:highlight w:val="none"/>
                <w:lang w:val="en-US" w:eastAsia="zh-CN"/>
              </w:rPr>
              <w:t>5</w:t>
            </w:r>
            <w:r>
              <w:rPr>
                <w:rFonts w:hint="eastAsia" w:ascii="宋体" w:hAnsi="宋体" w:eastAsia="宋体" w:cs="宋体"/>
                <w:b w:val="0"/>
                <w:bCs/>
                <w:strike w:val="0"/>
                <w:dstrike w:val="0"/>
                <w:color w:val="auto"/>
                <w:sz w:val="21"/>
                <w:szCs w:val="21"/>
                <w:highlight w:val="none"/>
                <w:lang w:val="en-US" w:eastAsia="zh-CN"/>
              </w:rPr>
              <w:t>分）</w:t>
            </w: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4"/>
                <w:sz w:val="21"/>
                <w:szCs w:val="21"/>
                <w:highlight w:val="none"/>
              </w:rPr>
              <w:t>方案明确详尽，具体完善，科学合理，与本项目的实</w:t>
            </w:r>
            <w:r>
              <w:rPr>
                <w:rFonts w:hint="eastAsia" w:ascii="宋体" w:hAnsi="宋体" w:eastAsia="宋体" w:cs="宋体"/>
                <w:b w:val="0"/>
                <w:bCs/>
                <w:strike w:val="0"/>
                <w:dstrike w:val="0"/>
                <w:color w:val="auto"/>
                <w:spacing w:val="-10"/>
                <w:sz w:val="21"/>
                <w:szCs w:val="21"/>
                <w:highlight w:val="none"/>
              </w:rPr>
              <w:t>际情</w:t>
            </w:r>
            <w:r>
              <w:rPr>
                <w:rFonts w:hint="eastAsia" w:ascii="宋体" w:hAnsi="宋体" w:eastAsia="宋体" w:cs="宋体"/>
                <w:b w:val="0"/>
                <w:bCs/>
                <w:strike w:val="0"/>
                <w:dstrike w:val="0"/>
                <w:color w:val="auto"/>
                <w:spacing w:val="-9"/>
                <w:sz w:val="21"/>
                <w:szCs w:val="21"/>
                <w:highlight w:val="none"/>
              </w:rPr>
              <w:t>况</w:t>
            </w:r>
            <w:r>
              <w:rPr>
                <w:rFonts w:hint="eastAsia" w:ascii="宋体" w:hAnsi="宋体" w:eastAsia="宋体" w:cs="宋体"/>
                <w:b w:val="0"/>
                <w:bCs/>
                <w:strike w:val="0"/>
                <w:dstrike w:val="0"/>
                <w:color w:val="auto"/>
                <w:spacing w:val="-5"/>
                <w:sz w:val="21"/>
                <w:szCs w:val="21"/>
                <w:highlight w:val="none"/>
              </w:rPr>
              <w:t>契合度高、针对性和操作性强，</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12.1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0"/>
                <w:sz w:val="21"/>
                <w:szCs w:val="21"/>
                <w:highlight w:val="none"/>
              </w:rPr>
              <w:t>方案较明确、较具体，合理可行，与本项目的实际情</w:t>
            </w:r>
            <w:r>
              <w:rPr>
                <w:rFonts w:hint="eastAsia" w:ascii="宋体" w:hAnsi="宋体" w:eastAsia="宋体" w:cs="宋体"/>
                <w:b w:val="0"/>
                <w:bCs/>
                <w:strike w:val="0"/>
                <w:dstrike w:val="0"/>
                <w:color w:val="auto"/>
                <w:spacing w:val="-24"/>
                <w:sz w:val="21"/>
                <w:szCs w:val="21"/>
                <w:highlight w:val="none"/>
              </w:rPr>
              <w:t>况</w:t>
            </w:r>
            <w:r>
              <w:rPr>
                <w:rFonts w:hint="eastAsia" w:ascii="宋体" w:hAnsi="宋体" w:eastAsia="宋体" w:cs="宋体"/>
                <w:b w:val="0"/>
                <w:bCs/>
                <w:strike w:val="0"/>
                <w:dstrike w:val="0"/>
                <w:color w:val="auto"/>
                <w:spacing w:val="-15"/>
                <w:sz w:val="21"/>
                <w:szCs w:val="21"/>
                <w:highlight w:val="none"/>
              </w:rPr>
              <w:t>契</w:t>
            </w:r>
            <w:r>
              <w:rPr>
                <w:rFonts w:hint="eastAsia" w:ascii="宋体" w:hAnsi="宋体" w:eastAsia="宋体" w:cs="宋体"/>
                <w:b w:val="0"/>
                <w:bCs/>
                <w:strike w:val="0"/>
                <w:dstrike w:val="0"/>
                <w:color w:val="auto"/>
                <w:spacing w:val="-12"/>
                <w:sz w:val="21"/>
                <w:szCs w:val="21"/>
                <w:highlight w:val="none"/>
              </w:rPr>
              <w:t>合度较高，可操作</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9.1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
                <w:sz w:val="21"/>
                <w:szCs w:val="21"/>
                <w:highlight w:val="none"/>
              </w:rPr>
              <w:t>基本满足招标文件要求</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服务质量和时间</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保证措施</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（10分）</w:t>
            </w: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4"/>
                <w:sz w:val="21"/>
                <w:szCs w:val="21"/>
                <w:highlight w:val="none"/>
                <w:lang w:val="en-US" w:eastAsia="zh-CN"/>
              </w:rPr>
              <w:t>措施</w:t>
            </w:r>
            <w:r>
              <w:rPr>
                <w:rFonts w:hint="eastAsia" w:ascii="宋体" w:hAnsi="宋体" w:eastAsia="宋体" w:cs="宋体"/>
                <w:b w:val="0"/>
                <w:bCs/>
                <w:strike w:val="0"/>
                <w:dstrike w:val="0"/>
                <w:color w:val="auto"/>
                <w:spacing w:val="-14"/>
                <w:sz w:val="21"/>
                <w:szCs w:val="21"/>
                <w:highlight w:val="none"/>
              </w:rPr>
              <w:t>明确详尽，具体完善，科学合理，与本项目的实</w:t>
            </w:r>
            <w:r>
              <w:rPr>
                <w:rFonts w:hint="eastAsia" w:ascii="宋体" w:hAnsi="宋体" w:eastAsia="宋体" w:cs="宋体"/>
                <w:b w:val="0"/>
                <w:bCs/>
                <w:strike w:val="0"/>
                <w:dstrike w:val="0"/>
                <w:color w:val="auto"/>
                <w:spacing w:val="-10"/>
                <w:sz w:val="21"/>
                <w:szCs w:val="21"/>
                <w:highlight w:val="none"/>
              </w:rPr>
              <w:t>际情</w:t>
            </w:r>
            <w:r>
              <w:rPr>
                <w:rFonts w:hint="eastAsia" w:ascii="宋体" w:hAnsi="宋体" w:eastAsia="宋体" w:cs="宋体"/>
                <w:b w:val="0"/>
                <w:bCs/>
                <w:strike w:val="0"/>
                <w:dstrike w:val="0"/>
                <w:color w:val="auto"/>
                <w:spacing w:val="-9"/>
                <w:sz w:val="21"/>
                <w:szCs w:val="21"/>
                <w:highlight w:val="none"/>
              </w:rPr>
              <w:t>况</w:t>
            </w:r>
            <w:r>
              <w:rPr>
                <w:rFonts w:hint="eastAsia" w:ascii="宋体" w:hAnsi="宋体" w:eastAsia="宋体" w:cs="宋体"/>
                <w:b w:val="0"/>
                <w:bCs/>
                <w:strike w:val="0"/>
                <w:dstrike w:val="0"/>
                <w:color w:val="auto"/>
                <w:spacing w:val="-5"/>
                <w:sz w:val="21"/>
                <w:szCs w:val="21"/>
                <w:highlight w:val="none"/>
              </w:rPr>
              <w:t>契合度高、针对性和操作性强</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8.1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0"/>
                <w:sz w:val="21"/>
                <w:szCs w:val="21"/>
                <w:highlight w:val="none"/>
                <w:lang w:val="en-US" w:eastAsia="zh-CN"/>
              </w:rPr>
              <w:t>措施</w:t>
            </w:r>
            <w:r>
              <w:rPr>
                <w:rFonts w:hint="eastAsia" w:ascii="宋体" w:hAnsi="宋体" w:eastAsia="宋体" w:cs="宋体"/>
                <w:b w:val="0"/>
                <w:bCs/>
                <w:strike w:val="0"/>
                <w:dstrike w:val="0"/>
                <w:color w:val="auto"/>
                <w:spacing w:val="-10"/>
                <w:sz w:val="21"/>
                <w:szCs w:val="21"/>
                <w:highlight w:val="none"/>
              </w:rPr>
              <w:t>较明确、较具体，合理可行，与本项目的实际情</w:t>
            </w:r>
            <w:r>
              <w:rPr>
                <w:rFonts w:hint="eastAsia" w:ascii="宋体" w:hAnsi="宋体" w:eastAsia="宋体" w:cs="宋体"/>
                <w:b w:val="0"/>
                <w:bCs/>
                <w:strike w:val="0"/>
                <w:dstrike w:val="0"/>
                <w:color w:val="auto"/>
                <w:spacing w:val="-24"/>
                <w:sz w:val="21"/>
                <w:szCs w:val="21"/>
                <w:highlight w:val="none"/>
              </w:rPr>
              <w:t>况</w:t>
            </w:r>
            <w:r>
              <w:rPr>
                <w:rFonts w:hint="eastAsia" w:ascii="宋体" w:hAnsi="宋体" w:eastAsia="宋体" w:cs="宋体"/>
                <w:b w:val="0"/>
                <w:bCs/>
                <w:strike w:val="0"/>
                <w:dstrike w:val="0"/>
                <w:color w:val="auto"/>
                <w:spacing w:val="-15"/>
                <w:sz w:val="21"/>
                <w:szCs w:val="21"/>
                <w:highlight w:val="none"/>
              </w:rPr>
              <w:t>契</w:t>
            </w:r>
            <w:r>
              <w:rPr>
                <w:rFonts w:hint="eastAsia" w:ascii="宋体" w:hAnsi="宋体" w:eastAsia="宋体" w:cs="宋体"/>
                <w:b w:val="0"/>
                <w:bCs/>
                <w:strike w:val="0"/>
                <w:dstrike w:val="0"/>
                <w:color w:val="auto"/>
                <w:spacing w:val="-12"/>
                <w:sz w:val="21"/>
                <w:szCs w:val="21"/>
                <w:highlight w:val="none"/>
              </w:rPr>
              <w:t>合度较高，可操作</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6.1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
                <w:sz w:val="21"/>
                <w:szCs w:val="21"/>
                <w:highlight w:val="none"/>
              </w:rPr>
              <w:t>基本满足招标文件要求</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设备投入方案</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（10分）</w:t>
            </w: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4"/>
                <w:sz w:val="21"/>
                <w:szCs w:val="21"/>
                <w:highlight w:val="none"/>
                <w:lang w:val="en-US" w:eastAsia="zh-CN"/>
              </w:rPr>
              <w:t>方案</w:t>
            </w:r>
            <w:r>
              <w:rPr>
                <w:rFonts w:hint="eastAsia" w:ascii="宋体" w:hAnsi="宋体" w:eastAsia="宋体" w:cs="宋体"/>
                <w:b w:val="0"/>
                <w:bCs/>
                <w:strike w:val="0"/>
                <w:dstrike w:val="0"/>
                <w:color w:val="auto"/>
                <w:spacing w:val="-14"/>
                <w:sz w:val="21"/>
                <w:szCs w:val="21"/>
                <w:highlight w:val="none"/>
              </w:rPr>
              <w:t>明确详尽，具体完善，科学合理，与本项目的实</w:t>
            </w:r>
            <w:r>
              <w:rPr>
                <w:rFonts w:hint="eastAsia" w:ascii="宋体" w:hAnsi="宋体" w:eastAsia="宋体" w:cs="宋体"/>
                <w:b w:val="0"/>
                <w:bCs/>
                <w:strike w:val="0"/>
                <w:dstrike w:val="0"/>
                <w:color w:val="auto"/>
                <w:spacing w:val="-10"/>
                <w:sz w:val="21"/>
                <w:szCs w:val="21"/>
                <w:highlight w:val="none"/>
              </w:rPr>
              <w:t>际情</w:t>
            </w:r>
            <w:r>
              <w:rPr>
                <w:rFonts w:hint="eastAsia" w:ascii="宋体" w:hAnsi="宋体" w:eastAsia="宋体" w:cs="宋体"/>
                <w:b w:val="0"/>
                <w:bCs/>
                <w:strike w:val="0"/>
                <w:dstrike w:val="0"/>
                <w:color w:val="auto"/>
                <w:spacing w:val="-9"/>
                <w:sz w:val="21"/>
                <w:szCs w:val="21"/>
                <w:highlight w:val="none"/>
              </w:rPr>
              <w:t>况</w:t>
            </w:r>
            <w:r>
              <w:rPr>
                <w:rFonts w:hint="eastAsia" w:ascii="宋体" w:hAnsi="宋体" w:eastAsia="宋体" w:cs="宋体"/>
                <w:b w:val="0"/>
                <w:bCs/>
                <w:strike w:val="0"/>
                <w:dstrike w:val="0"/>
                <w:color w:val="auto"/>
                <w:spacing w:val="-5"/>
                <w:sz w:val="21"/>
                <w:szCs w:val="21"/>
                <w:highlight w:val="none"/>
              </w:rPr>
              <w:t>契合度高、针对性和操作性强</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lang w:val="en-US" w:eastAsia="zh-CN"/>
              </w:rPr>
              <w:t>8.1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0"/>
                <w:sz w:val="21"/>
                <w:szCs w:val="21"/>
                <w:highlight w:val="none"/>
                <w:lang w:val="en-US" w:eastAsia="zh-CN"/>
              </w:rPr>
              <w:t>方案</w:t>
            </w:r>
            <w:r>
              <w:rPr>
                <w:rFonts w:hint="eastAsia" w:ascii="宋体" w:hAnsi="宋体" w:eastAsia="宋体" w:cs="宋体"/>
                <w:b w:val="0"/>
                <w:bCs/>
                <w:strike w:val="0"/>
                <w:dstrike w:val="0"/>
                <w:color w:val="auto"/>
                <w:spacing w:val="-10"/>
                <w:sz w:val="21"/>
                <w:szCs w:val="21"/>
                <w:highlight w:val="none"/>
              </w:rPr>
              <w:t>较明确、较具体，合理可行，与本项目的实际情</w:t>
            </w:r>
            <w:r>
              <w:rPr>
                <w:rFonts w:hint="eastAsia" w:ascii="宋体" w:hAnsi="宋体" w:eastAsia="宋体" w:cs="宋体"/>
                <w:b w:val="0"/>
                <w:bCs/>
                <w:strike w:val="0"/>
                <w:dstrike w:val="0"/>
                <w:color w:val="auto"/>
                <w:spacing w:val="-24"/>
                <w:sz w:val="21"/>
                <w:szCs w:val="21"/>
                <w:highlight w:val="none"/>
              </w:rPr>
              <w:t>况</w:t>
            </w:r>
            <w:r>
              <w:rPr>
                <w:rFonts w:hint="eastAsia" w:ascii="宋体" w:hAnsi="宋体" w:eastAsia="宋体" w:cs="宋体"/>
                <w:b w:val="0"/>
                <w:bCs/>
                <w:strike w:val="0"/>
                <w:dstrike w:val="0"/>
                <w:color w:val="auto"/>
                <w:spacing w:val="-15"/>
                <w:sz w:val="21"/>
                <w:szCs w:val="21"/>
                <w:highlight w:val="none"/>
              </w:rPr>
              <w:t>契</w:t>
            </w:r>
            <w:r>
              <w:rPr>
                <w:rFonts w:hint="eastAsia" w:ascii="宋体" w:hAnsi="宋体" w:eastAsia="宋体" w:cs="宋体"/>
                <w:b w:val="0"/>
                <w:bCs/>
                <w:strike w:val="0"/>
                <w:dstrike w:val="0"/>
                <w:color w:val="auto"/>
                <w:spacing w:val="-12"/>
                <w:sz w:val="21"/>
                <w:szCs w:val="21"/>
                <w:highlight w:val="none"/>
              </w:rPr>
              <w:t>合度较高，可操作</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lang w:val="en-US" w:eastAsia="zh-CN"/>
              </w:rPr>
              <w:t>6.1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pacing w:val="-1"/>
                <w:sz w:val="21"/>
                <w:szCs w:val="21"/>
                <w:highlight w:val="none"/>
              </w:rPr>
              <w:t>基本满足招标文件要求</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lang w:val="en-US" w:eastAsia="zh-CN"/>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restart"/>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应急、保密措施</w:t>
            </w:r>
          </w:p>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（15分）</w:t>
            </w:r>
          </w:p>
        </w:tc>
        <w:tc>
          <w:tcPr>
            <w:tcW w:w="4040" w:type="dxa"/>
            <w:noWrap w:val="0"/>
            <w:vAlign w:val="center"/>
          </w:tcPr>
          <w:p>
            <w:pPr>
              <w:spacing w:line="240" w:lineRule="auto"/>
              <w:rPr>
                <w:rFonts w:hint="eastAsia" w:ascii="宋体" w:hAnsi="宋体" w:eastAsia="宋体" w:cs="宋体"/>
                <w:b w:val="0"/>
                <w:bCs/>
                <w:strike w:val="0"/>
                <w:dstrike w:val="0"/>
                <w:color w:val="auto"/>
                <w:spacing w:val="-1"/>
                <w:sz w:val="21"/>
                <w:szCs w:val="21"/>
                <w:highlight w:val="none"/>
              </w:rPr>
            </w:pPr>
            <w:r>
              <w:rPr>
                <w:rFonts w:hint="eastAsia" w:ascii="宋体" w:hAnsi="宋体" w:eastAsia="宋体" w:cs="宋体"/>
                <w:b w:val="0"/>
                <w:bCs/>
                <w:strike w:val="0"/>
                <w:dstrike w:val="0"/>
                <w:color w:val="auto"/>
                <w:spacing w:val="-14"/>
                <w:sz w:val="21"/>
                <w:szCs w:val="21"/>
                <w:highlight w:val="none"/>
                <w:lang w:val="en-US" w:eastAsia="zh-CN"/>
              </w:rPr>
              <w:t>措施</w:t>
            </w:r>
            <w:r>
              <w:rPr>
                <w:rFonts w:hint="eastAsia" w:ascii="宋体" w:hAnsi="宋体" w:eastAsia="宋体" w:cs="宋体"/>
                <w:b w:val="0"/>
                <w:bCs/>
                <w:strike w:val="0"/>
                <w:dstrike w:val="0"/>
                <w:color w:val="auto"/>
                <w:spacing w:val="-14"/>
                <w:sz w:val="21"/>
                <w:szCs w:val="21"/>
                <w:highlight w:val="none"/>
              </w:rPr>
              <w:t>明确详尽，具体完善，科学合理，与本项目的实</w:t>
            </w:r>
            <w:r>
              <w:rPr>
                <w:rFonts w:hint="eastAsia" w:ascii="宋体" w:hAnsi="宋体" w:eastAsia="宋体" w:cs="宋体"/>
                <w:b w:val="0"/>
                <w:bCs/>
                <w:strike w:val="0"/>
                <w:dstrike w:val="0"/>
                <w:color w:val="auto"/>
                <w:spacing w:val="-10"/>
                <w:sz w:val="21"/>
                <w:szCs w:val="21"/>
                <w:highlight w:val="none"/>
              </w:rPr>
              <w:t>际情</w:t>
            </w:r>
            <w:r>
              <w:rPr>
                <w:rFonts w:hint="eastAsia" w:ascii="宋体" w:hAnsi="宋体" w:eastAsia="宋体" w:cs="宋体"/>
                <w:b w:val="0"/>
                <w:bCs/>
                <w:strike w:val="0"/>
                <w:dstrike w:val="0"/>
                <w:color w:val="auto"/>
                <w:spacing w:val="-9"/>
                <w:sz w:val="21"/>
                <w:szCs w:val="21"/>
                <w:highlight w:val="none"/>
              </w:rPr>
              <w:t>况</w:t>
            </w:r>
            <w:r>
              <w:rPr>
                <w:rFonts w:hint="eastAsia" w:ascii="宋体" w:hAnsi="宋体" w:eastAsia="宋体" w:cs="宋体"/>
                <w:b w:val="0"/>
                <w:bCs/>
                <w:strike w:val="0"/>
                <w:dstrike w:val="0"/>
                <w:color w:val="auto"/>
                <w:spacing w:val="-5"/>
                <w:sz w:val="21"/>
                <w:szCs w:val="21"/>
                <w:highlight w:val="none"/>
              </w:rPr>
              <w:t>契合度高、针对性和操作性强</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12.1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pacing w:val="-1"/>
                <w:sz w:val="21"/>
                <w:szCs w:val="21"/>
                <w:highlight w:val="none"/>
              </w:rPr>
            </w:pPr>
            <w:r>
              <w:rPr>
                <w:rFonts w:hint="eastAsia" w:ascii="宋体" w:hAnsi="宋体" w:eastAsia="宋体" w:cs="宋体"/>
                <w:b w:val="0"/>
                <w:bCs/>
                <w:strike w:val="0"/>
                <w:dstrike w:val="0"/>
                <w:color w:val="auto"/>
                <w:spacing w:val="-10"/>
                <w:sz w:val="21"/>
                <w:szCs w:val="21"/>
                <w:highlight w:val="none"/>
                <w:lang w:val="en-US" w:eastAsia="zh-CN"/>
              </w:rPr>
              <w:t>措施</w:t>
            </w:r>
            <w:r>
              <w:rPr>
                <w:rFonts w:hint="eastAsia" w:ascii="宋体" w:hAnsi="宋体" w:eastAsia="宋体" w:cs="宋体"/>
                <w:b w:val="0"/>
                <w:bCs/>
                <w:strike w:val="0"/>
                <w:dstrike w:val="0"/>
                <w:color w:val="auto"/>
                <w:spacing w:val="-10"/>
                <w:sz w:val="21"/>
                <w:szCs w:val="21"/>
                <w:highlight w:val="none"/>
              </w:rPr>
              <w:t>较明确、较具体，合理可行，与本项目的实际情</w:t>
            </w:r>
            <w:r>
              <w:rPr>
                <w:rFonts w:hint="eastAsia" w:ascii="宋体" w:hAnsi="宋体" w:eastAsia="宋体" w:cs="宋体"/>
                <w:b w:val="0"/>
                <w:bCs/>
                <w:strike w:val="0"/>
                <w:dstrike w:val="0"/>
                <w:color w:val="auto"/>
                <w:spacing w:val="-24"/>
                <w:sz w:val="21"/>
                <w:szCs w:val="21"/>
                <w:highlight w:val="none"/>
              </w:rPr>
              <w:t>况</w:t>
            </w:r>
            <w:r>
              <w:rPr>
                <w:rFonts w:hint="eastAsia" w:ascii="宋体" w:hAnsi="宋体" w:eastAsia="宋体" w:cs="宋体"/>
                <w:b w:val="0"/>
                <w:bCs/>
                <w:strike w:val="0"/>
                <w:dstrike w:val="0"/>
                <w:color w:val="auto"/>
                <w:spacing w:val="-15"/>
                <w:sz w:val="21"/>
                <w:szCs w:val="21"/>
                <w:highlight w:val="none"/>
              </w:rPr>
              <w:t>契</w:t>
            </w:r>
            <w:r>
              <w:rPr>
                <w:rFonts w:hint="eastAsia" w:ascii="宋体" w:hAnsi="宋体" w:eastAsia="宋体" w:cs="宋体"/>
                <w:b w:val="0"/>
                <w:bCs/>
                <w:strike w:val="0"/>
                <w:dstrike w:val="0"/>
                <w:color w:val="auto"/>
                <w:spacing w:val="-12"/>
                <w:sz w:val="21"/>
                <w:szCs w:val="21"/>
                <w:highlight w:val="none"/>
              </w:rPr>
              <w:t>合度较高，可操作</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9.1</w:t>
            </w:r>
            <w:r>
              <w:rPr>
                <w:rFonts w:hint="eastAsia" w:ascii="宋体" w:hAnsi="宋体" w:eastAsia="宋体" w:cs="宋体"/>
                <w:b w:val="0"/>
                <w:bCs/>
                <w:strike w:val="0"/>
                <w:dstrike w:val="0"/>
                <w:color w:val="auto"/>
                <w:sz w:val="21"/>
                <w:szCs w:val="21"/>
                <w:highlight w:val="none"/>
              </w:rPr>
              <w:t>-</w:t>
            </w:r>
            <w:r>
              <w:rPr>
                <w:rFonts w:hint="eastAsia" w:ascii="宋体" w:hAnsi="宋体" w:eastAsia="宋体" w:cs="宋体"/>
                <w:b w:val="0"/>
                <w:bCs/>
                <w:strike w:val="0"/>
                <w:dstrike w:val="0"/>
                <w:color w:val="auto"/>
                <w:sz w:val="21"/>
                <w:szCs w:val="21"/>
                <w:highlight w:val="none"/>
                <w:lang w:val="en-US" w:eastAsia="zh-CN"/>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886"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rPr>
            </w:pPr>
          </w:p>
        </w:tc>
        <w:tc>
          <w:tcPr>
            <w:tcW w:w="1065" w:type="dxa"/>
            <w:vMerge w:val="continue"/>
            <w:noWrap w:val="0"/>
            <w:vAlign w:val="top"/>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1940" w:type="dxa"/>
            <w:vMerge w:val="continue"/>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p>
        </w:tc>
        <w:tc>
          <w:tcPr>
            <w:tcW w:w="4040" w:type="dxa"/>
            <w:noWrap w:val="0"/>
            <w:vAlign w:val="center"/>
          </w:tcPr>
          <w:p>
            <w:pPr>
              <w:spacing w:line="240" w:lineRule="auto"/>
              <w:rPr>
                <w:rFonts w:hint="eastAsia" w:ascii="宋体" w:hAnsi="宋体" w:eastAsia="宋体" w:cs="宋体"/>
                <w:b w:val="0"/>
                <w:bCs/>
                <w:strike w:val="0"/>
                <w:dstrike w:val="0"/>
                <w:color w:val="auto"/>
                <w:spacing w:val="-1"/>
                <w:sz w:val="21"/>
                <w:szCs w:val="21"/>
                <w:highlight w:val="none"/>
              </w:rPr>
            </w:pPr>
            <w:r>
              <w:rPr>
                <w:rFonts w:hint="eastAsia" w:ascii="宋体" w:hAnsi="宋体" w:eastAsia="宋体" w:cs="宋体"/>
                <w:b w:val="0"/>
                <w:bCs/>
                <w:strike w:val="0"/>
                <w:dstrike w:val="0"/>
                <w:color w:val="auto"/>
                <w:spacing w:val="-1"/>
                <w:sz w:val="21"/>
                <w:szCs w:val="21"/>
                <w:highlight w:val="none"/>
              </w:rPr>
              <w:t>基本满足招标文件要求</w:t>
            </w:r>
          </w:p>
        </w:tc>
        <w:tc>
          <w:tcPr>
            <w:tcW w:w="1410" w:type="dxa"/>
            <w:noWrap w:val="0"/>
            <w:vAlign w:val="center"/>
          </w:tcPr>
          <w:p>
            <w:pPr>
              <w:pStyle w:val="22"/>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86" w:type="dxa"/>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2.</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.4（2）</w:t>
            </w:r>
          </w:p>
        </w:tc>
        <w:tc>
          <w:tcPr>
            <w:tcW w:w="3005" w:type="dxa"/>
            <w:gridSpan w:val="2"/>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企业业绩评分标准</w:t>
            </w:r>
          </w:p>
          <w:p>
            <w:pPr>
              <w:spacing w:line="240" w:lineRule="auto"/>
              <w:jc w:val="center"/>
              <w:rPr>
                <w:rFonts w:hint="eastAsia" w:ascii="宋体" w:hAnsi="宋体" w:eastAsia="宋体" w:cs="宋体"/>
                <w:b w:val="0"/>
                <w:bCs/>
                <w:strike w:val="0"/>
                <w:dstrike w:val="0"/>
                <w:color w:val="auto"/>
                <w:kern w:val="2"/>
                <w:sz w:val="21"/>
                <w:szCs w:val="21"/>
                <w:highlight w:val="none"/>
                <w:lang w:val="en-US" w:eastAsia="zh-CN" w:bidi="ar-SA"/>
              </w:rPr>
            </w:pPr>
            <w:r>
              <w:rPr>
                <w:rFonts w:hint="eastAsia" w:ascii="宋体" w:hAnsi="宋体" w:eastAsia="宋体" w:cs="宋体"/>
                <w:b w:val="0"/>
                <w:bCs/>
                <w:strike w:val="0"/>
                <w:dstrike w:val="0"/>
                <w:color w:val="auto"/>
                <w:sz w:val="21"/>
                <w:szCs w:val="21"/>
                <w:highlight w:val="none"/>
                <w:lang w:val="en-US" w:eastAsia="zh-CN"/>
              </w:rPr>
              <w:t>（ 20 分）</w:t>
            </w:r>
          </w:p>
        </w:tc>
        <w:tc>
          <w:tcPr>
            <w:tcW w:w="5450" w:type="dxa"/>
            <w:gridSpan w:val="2"/>
            <w:noWrap w:val="0"/>
            <w:vAlign w:val="center"/>
          </w:tcPr>
          <w:p>
            <w:pPr>
              <w:spacing w:line="240" w:lineRule="auto"/>
              <w:jc w:val="left"/>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rPr>
              <w:t>满足资格审查</w:t>
            </w:r>
            <w:r>
              <w:rPr>
                <w:rFonts w:hint="eastAsia" w:ascii="宋体" w:hAnsi="宋体" w:eastAsia="宋体" w:cs="宋体"/>
                <w:b w:val="0"/>
                <w:bCs/>
                <w:strike w:val="0"/>
                <w:dstrike w:val="0"/>
                <w:color w:val="auto"/>
                <w:sz w:val="21"/>
                <w:szCs w:val="21"/>
                <w:highlight w:val="none"/>
                <w:lang w:val="en-US" w:eastAsia="zh-CN"/>
              </w:rPr>
              <w:t>最低</w:t>
            </w:r>
            <w:r>
              <w:rPr>
                <w:rFonts w:hint="eastAsia" w:ascii="宋体" w:hAnsi="宋体" w:eastAsia="宋体" w:cs="宋体"/>
                <w:b w:val="0"/>
                <w:bCs/>
                <w:strike w:val="0"/>
                <w:dstrike w:val="0"/>
                <w:color w:val="auto"/>
                <w:sz w:val="21"/>
                <w:szCs w:val="21"/>
                <w:highlight w:val="none"/>
              </w:rPr>
              <w:t>要求得</w:t>
            </w:r>
            <w:r>
              <w:rPr>
                <w:rFonts w:hint="eastAsia" w:ascii="宋体" w:hAnsi="宋体" w:eastAsia="宋体" w:cs="宋体"/>
                <w:b w:val="0"/>
                <w:bCs/>
                <w:strike w:val="0"/>
                <w:dstrike w:val="0"/>
                <w:color w:val="auto"/>
                <w:sz w:val="21"/>
                <w:szCs w:val="21"/>
                <w:highlight w:val="none"/>
                <w:lang w:val="en-US" w:eastAsia="zh-CN"/>
              </w:rPr>
              <w:t>12</w:t>
            </w:r>
            <w:r>
              <w:rPr>
                <w:rFonts w:hint="eastAsia" w:ascii="宋体" w:hAnsi="宋体" w:eastAsia="宋体" w:cs="宋体"/>
                <w:b w:val="0"/>
                <w:bCs/>
                <w:strike w:val="0"/>
                <w:dstrike w:val="0"/>
                <w:color w:val="auto"/>
                <w:sz w:val="21"/>
                <w:szCs w:val="21"/>
                <w:highlight w:val="none"/>
              </w:rPr>
              <w:t>分，每增加1项满足资格审查要求的业绩，加</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分，最多加</w:t>
            </w:r>
            <w:r>
              <w:rPr>
                <w:rFonts w:hint="eastAsia" w:ascii="宋体" w:hAnsi="宋体" w:eastAsia="宋体" w:cs="宋体"/>
                <w:b w:val="0"/>
                <w:bCs/>
                <w:strike w:val="0"/>
                <w:dstrike w:val="0"/>
                <w:color w:val="auto"/>
                <w:sz w:val="21"/>
                <w:szCs w:val="21"/>
                <w:highlight w:val="none"/>
                <w:lang w:val="en-US" w:eastAsia="zh-CN"/>
              </w:rPr>
              <w:t>至满分</w:t>
            </w:r>
            <w:r>
              <w:rPr>
                <w:rFonts w:hint="eastAsia" w:ascii="宋体" w:hAnsi="宋体" w:eastAsia="宋体" w:cs="宋体"/>
                <w:b w:val="0"/>
                <w:bCs/>
                <w:strike w:val="0"/>
                <w:dstrike w:val="0"/>
                <w:color w:val="auto"/>
                <w:sz w:val="21"/>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4" w:hRule="atLeast"/>
          <w:jc w:val="center"/>
        </w:trPr>
        <w:tc>
          <w:tcPr>
            <w:tcW w:w="886" w:type="dxa"/>
            <w:noWrap w:val="0"/>
            <w:vAlign w:val="center"/>
          </w:tcPr>
          <w:p>
            <w:pPr>
              <w:spacing w:line="240" w:lineRule="auto"/>
              <w:jc w:val="center"/>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2.</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.4（</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w:t>
            </w:r>
          </w:p>
        </w:tc>
        <w:tc>
          <w:tcPr>
            <w:tcW w:w="3005" w:type="dxa"/>
            <w:gridSpan w:val="2"/>
            <w:noWrap w:val="0"/>
            <w:vAlign w:val="center"/>
          </w:tcPr>
          <w:p>
            <w:pPr>
              <w:spacing w:line="240" w:lineRule="auto"/>
              <w:jc w:val="center"/>
              <w:rPr>
                <w:rFonts w:hint="eastAsia" w:ascii="宋体" w:hAnsi="宋体" w:eastAsia="宋体" w:cs="宋体"/>
                <w:b w:val="0"/>
                <w:bCs/>
                <w:strike w:val="0"/>
                <w:dstrike w:val="0"/>
                <w:color w:val="auto"/>
                <w:sz w:val="21"/>
                <w:szCs w:val="21"/>
                <w:highlight w:val="none"/>
                <w:lang w:val="en-US" w:eastAsia="zh-CN"/>
              </w:rPr>
            </w:pPr>
            <w:r>
              <w:rPr>
                <w:rFonts w:hint="eastAsia" w:ascii="宋体" w:hAnsi="宋体" w:eastAsia="宋体" w:cs="宋体"/>
                <w:b w:val="0"/>
                <w:bCs/>
                <w:strike w:val="0"/>
                <w:dstrike w:val="0"/>
                <w:color w:val="auto"/>
                <w:sz w:val="21"/>
                <w:szCs w:val="21"/>
                <w:highlight w:val="none"/>
                <w:lang w:val="en-US" w:eastAsia="zh-CN"/>
              </w:rPr>
              <w:t>投标报价评分标准评分标准（30分）</w:t>
            </w:r>
          </w:p>
        </w:tc>
        <w:tc>
          <w:tcPr>
            <w:tcW w:w="5450" w:type="dxa"/>
            <w:gridSpan w:val="2"/>
            <w:noWrap w:val="0"/>
            <w:vAlign w:val="top"/>
          </w:tcPr>
          <w:p>
            <w:pPr>
              <w:spacing w:line="240" w:lineRule="auto"/>
              <w:ind w:firstLine="321" w:firstLineChars="153"/>
              <w:jc w:val="left"/>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a.如果投标人的投标报价＞评标基准价，则评标价得分＝</w:t>
            </w:r>
            <w:r>
              <w:rPr>
                <w:rFonts w:hint="eastAsia" w:ascii="宋体" w:hAnsi="宋体" w:eastAsia="宋体" w:cs="宋体"/>
                <w:b w:val="0"/>
                <w:bCs/>
                <w:strike w:val="0"/>
                <w:dstrike w:val="0"/>
                <w:color w:val="auto"/>
                <w:sz w:val="21"/>
                <w:szCs w:val="21"/>
                <w:highlight w:val="none"/>
                <w:lang w:val="en-US" w:eastAsia="zh-CN"/>
              </w:rPr>
              <w:t>30</w:t>
            </w:r>
            <w:r>
              <w:rPr>
                <w:rFonts w:hint="eastAsia" w:ascii="宋体" w:hAnsi="宋体" w:eastAsia="宋体" w:cs="宋体"/>
                <w:b w:val="0"/>
                <w:bCs/>
                <w:strike w:val="0"/>
                <w:dstrike w:val="0"/>
                <w:color w:val="auto"/>
                <w:sz w:val="21"/>
                <w:szCs w:val="21"/>
                <w:highlight w:val="none"/>
              </w:rPr>
              <w:t>－偏差率×100×E1；</w:t>
            </w:r>
          </w:p>
          <w:p>
            <w:pPr>
              <w:spacing w:line="240" w:lineRule="auto"/>
              <w:ind w:firstLine="321" w:firstLineChars="153"/>
              <w:jc w:val="left"/>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b.如果投标人的投标报价≤评标基准价，则评标价得分＝</w:t>
            </w:r>
            <w:r>
              <w:rPr>
                <w:rFonts w:hint="eastAsia" w:ascii="宋体" w:hAnsi="宋体" w:eastAsia="宋体" w:cs="宋体"/>
                <w:b w:val="0"/>
                <w:bCs/>
                <w:strike w:val="0"/>
                <w:dstrike w:val="0"/>
                <w:color w:val="auto"/>
                <w:sz w:val="21"/>
                <w:szCs w:val="21"/>
                <w:highlight w:val="none"/>
                <w:lang w:val="en-US" w:eastAsia="zh-CN"/>
              </w:rPr>
              <w:t>30</w:t>
            </w:r>
            <w:r>
              <w:rPr>
                <w:rFonts w:hint="eastAsia" w:ascii="宋体" w:hAnsi="宋体" w:eastAsia="宋体" w:cs="宋体"/>
                <w:b w:val="0"/>
                <w:bCs/>
                <w:strike w:val="0"/>
                <w:dstrike w:val="0"/>
                <w:color w:val="auto"/>
                <w:sz w:val="21"/>
                <w:szCs w:val="21"/>
                <w:highlight w:val="none"/>
              </w:rPr>
              <w:t>＋偏差率×100×E2；</w:t>
            </w:r>
          </w:p>
          <w:p>
            <w:pPr>
              <w:spacing w:line="240" w:lineRule="auto"/>
              <w:ind w:firstLine="321" w:firstLineChars="153"/>
              <w:jc w:val="left"/>
              <w:rPr>
                <w:rFonts w:hint="eastAsia" w:ascii="宋体" w:hAnsi="宋体" w:eastAsia="宋体" w:cs="宋体"/>
                <w:b w:val="0"/>
                <w:bCs/>
                <w:strike w:val="0"/>
                <w:dstrike w:val="0"/>
                <w:color w:val="auto"/>
                <w:sz w:val="21"/>
                <w:szCs w:val="21"/>
                <w:highlight w:val="none"/>
              </w:rPr>
            </w:pPr>
            <w:r>
              <w:rPr>
                <w:rFonts w:hint="eastAsia" w:ascii="宋体" w:hAnsi="宋体" w:eastAsia="宋体" w:cs="宋体"/>
                <w:b w:val="0"/>
                <w:bCs/>
                <w:strike w:val="0"/>
                <w:dstrike w:val="0"/>
                <w:color w:val="auto"/>
                <w:sz w:val="21"/>
                <w:szCs w:val="21"/>
                <w:highlight w:val="none"/>
              </w:rPr>
              <w:t>其中，E1是投标报价每高于评标基准价一个百分点的扣分值，E1＝0.</w:t>
            </w:r>
            <w:r>
              <w:rPr>
                <w:rFonts w:hint="eastAsia" w:ascii="宋体" w:hAnsi="宋体" w:eastAsia="宋体" w:cs="宋体"/>
                <w:b w:val="0"/>
                <w:bCs/>
                <w:strike w:val="0"/>
                <w:dstrike w:val="0"/>
                <w:color w:val="auto"/>
                <w:sz w:val="21"/>
                <w:szCs w:val="21"/>
                <w:highlight w:val="none"/>
                <w:lang w:val="en-US" w:eastAsia="zh-CN"/>
              </w:rPr>
              <w:t>5</w:t>
            </w:r>
            <w:r>
              <w:rPr>
                <w:rFonts w:hint="eastAsia" w:ascii="宋体" w:hAnsi="宋体" w:eastAsia="宋体" w:cs="宋体"/>
                <w:b w:val="0"/>
                <w:bCs/>
                <w:strike w:val="0"/>
                <w:dstrike w:val="0"/>
                <w:color w:val="auto"/>
                <w:sz w:val="21"/>
                <w:szCs w:val="21"/>
                <w:highlight w:val="none"/>
              </w:rPr>
              <w:t>；E2是投标报价每低于评标基准价一个百分点的扣分值，E2＝0.</w:t>
            </w:r>
            <w:r>
              <w:rPr>
                <w:rFonts w:hint="eastAsia" w:ascii="宋体" w:hAnsi="宋体" w:eastAsia="宋体" w:cs="宋体"/>
                <w:b w:val="0"/>
                <w:bCs/>
                <w:strike w:val="0"/>
                <w:dstrike w:val="0"/>
                <w:color w:val="auto"/>
                <w:sz w:val="21"/>
                <w:szCs w:val="21"/>
                <w:highlight w:val="none"/>
                <w:lang w:val="en-US" w:eastAsia="zh-CN"/>
              </w:rPr>
              <w:t>3</w:t>
            </w:r>
            <w:r>
              <w:rPr>
                <w:rFonts w:hint="eastAsia" w:ascii="宋体" w:hAnsi="宋体" w:eastAsia="宋体" w:cs="宋体"/>
                <w:b w:val="0"/>
                <w:bCs/>
                <w:strike w:val="0"/>
                <w:dstrike w:val="0"/>
                <w:color w:val="auto"/>
                <w:sz w:val="21"/>
                <w:szCs w:val="21"/>
                <w:highlight w:val="none"/>
              </w:rPr>
              <w:t>。</w:t>
            </w:r>
          </w:p>
        </w:tc>
      </w:tr>
    </w:tbl>
    <w:p>
      <w:pPr>
        <w:pStyle w:val="21"/>
        <w:jc w:val="left"/>
        <w:outlineLvl w:val="0"/>
        <w:rPr>
          <w:rFonts w:hint="eastAsia" w:ascii="宋体" w:hAnsi="宋体" w:eastAsia="宋体" w:cs="宋体"/>
          <w:b/>
          <w:bCs/>
          <w:strike w:val="0"/>
          <w:dstrike w:val="0"/>
          <w:color w:val="auto"/>
          <w:sz w:val="24"/>
          <w:szCs w:val="24"/>
          <w:highlight w:val="none"/>
        </w:rPr>
      </w:pPr>
    </w:p>
    <w:p>
      <w:pPr>
        <w:spacing w:before="21"/>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注：</w:t>
      </w:r>
    </w:p>
    <w:p>
      <w:pPr>
        <w:spacing w:before="21"/>
        <w:rPr>
          <w:rFonts w:hint="eastAsia" w:ascii="宋体" w:hAnsi="宋体" w:eastAsia="宋体" w:cs="宋体"/>
          <w:strike w:val="0"/>
          <w:dstrike w:val="0"/>
          <w:color w:val="auto"/>
          <w:sz w:val="21"/>
          <w:szCs w:val="21"/>
          <w:highlight w:val="none"/>
        </w:rPr>
      </w:pPr>
      <w:r>
        <w:rPr>
          <w:rFonts w:hint="eastAsia" w:ascii="宋体" w:hAnsi="宋体" w:eastAsia="宋体" w:cs="宋体"/>
          <w:strike w:val="0"/>
          <w:dstrike w:val="0"/>
          <w:color w:val="auto"/>
          <w:sz w:val="21"/>
          <w:szCs w:val="21"/>
          <w:highlight w:val="none"/>
        </w:rPr>
        <w:t>1、评委打分保留一位小数。</w:t>
      </w:r>
    </w:p>
    <w:p>
      <w:pPr>
        <w:rPr>
          <w:rFonts w:hint="eastAsia" w:ascii="宋体" w:hAnsi="宋体" w:eastAsia="宋体" w:cs="宋体"/>
          <w:b/>
          <w:bCs/>
          <w:color w:val="auto"/>
          <w:sz w:val="21"/>
          <w:szCs w:val="21"/>
          <w:highlight w:val="none"/>
        </w:rPr>
      </w:pPr>
      <w:r>
        <w:rPr>
          <w:rFonts w:hint="eastAsia" w:ascii="宋体" w:hAnsi="宋体" w:eastAsia="宋体" w:cs="宋体"/>
          <w:strike w:val="0"/>
          <w:dstrike w:val="0"/>
          <w:color w:val="auto"/>
          <w:sz w:val="21"/>
          <w:szCs w:val="21"/>
          <w:highlight w:val="none"/>
        </w:rPr>
        <w:t>2、各评分因素得分应以评标委员会各成员的打分平均值确定，评标汇总得分保留 2 位小数。</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kYjJiZWE1ZjgxYjZiNjQyMjE2ZGNmNGI1MjdhZjEifQ=="/>
  </w:docVars>
  <w:rsids>
    <w:rsidRoot w:val="00000000"/>
    <w:rsid w:val="01752B55"/>
    <w:rsid w:val="01F1646E"/>
    <w:rsid w:val="052B11AA"/>
    <w:rsid w:val="053765B9"/>
    <w:rsid w:val="05482EA2"/>
    <w:rsid w:val="064102F9"/>
    <w:rsid w:val="067A164E"/>
    <w:rsid w:val="07FC4D37"/>
    <w:rsid w:val="0AB54A42"/>
    <w:rsid w:val="0CA8704E"/>
    <w:rsid w:val="0E81287E"/>
    <w:rsid w:val="12476BEA"/>
    <w:rsid w:val="15252667"/>
    <w:rsid w:val="153B67D4"/>
    <w:rsid w:val="16415095"/>
    <w:rsid w:val="17C044C3"/>
    <w:rsid w:val="18670549"/>
    <w:rsid w:val="1B676774"/>
    <w:rsid w:val="1C063B10"/>
    <w:rsid w:val="1D7B470C"/>
    <w:rsid w:val="1D951969"/>
    <w:rsid w:val="1F071645"/>
    <w:rsid w:val="1F58329B"/>
    <w:rsid w:val="214C45F4"/>
    <w:rsid w:val="23585E1D"/>
    <w:rsid w:val="237B6F63"/>
    <w:rsid w:val="260871F9"/>
    <w:rsid w:val="262B258E"/>
    <w:rsid w:val="267C5F31"/>
    <w:rsid w:val="27065532"/>
    <w:rsid w:val="27C849A7"/>
    <w:rsid w:val="29FD3CFB"/>
    <w:rsid w:val="2A14027C"/>
    <w:rsid w:val="2A7201E4"/>
    <w:rsid w:val="2C053E53"/>
    <w:rsid w:val="2C461E1C"/>
    <w:rsid w:val="2E355690"/>
    <w:rsid w:val="2EED0ED3"/>
    <w:rsid w:val="2F12606C"/>
    <w:rsid w:val="2FE07023"/>
    <w:rsid w:val="30646183"/>
    <w:rsid w:val="31EE7681"/>
    <w:rsid w:val="34715C57"/>
    <w:rsid w:val="35F04520"/>
    <w:rsid w:val="36AE5B31"/>
    <w:rsid w:val="37DE6BB9"/>
    <w:rsid w:val="38F0586E"/>
    <w:rsid w:val="39BF72B4"/>
    <w:rsid w:val="3AFE0D2F"/>
    <w:rsid w:val="3B4A3961"/>
    <w:rsid w:val="3BED56CD"/>
    <w:rsid w:val="3D784A90"/>
    <w:rsid w:val="3E864610"/>
    <w:rsid w:val="3F405866"/>
    <w:rsid w:val="4327445A"/>
    <w:rsid w:val="438E434B"/>
    <w:rsid w:val="439515D5"/>
    <w:rsid w:val="43A66C1F"/>
    <w:rsid w:val="48A43D49"/>
    <w:rsid w:val="4B4311A8"/>
    <w:rsid w:val="4B720118"/>
    <w:rsid w:val="4BEE2E5D"/>
    <w:rsid w:val="4E1C46B2"/>
    <w:rsid w:val="51ED2A7B"/>
    <w:rsid w:val="54697928"/>
    <w:rsid w:val="56FC3747"/>
    <w:rsid w:val="5787161D"/>
    <w:rsid w:val="5C09106B"/>
    <w:rsid w:val="5C761162"/>
    <w:rsid w:val="5C926C63"/>
    <w:rsid w:val="5E554B9A"/>
    <w:rsid w:val="61CF197C"/>
    <w:rsid w:val="63737747"/>
    <w:rsid w:val="654419FA"/>
    <w:rsid w:val="65E20F44"/>
    <w:rsid w:val="6683726D"/>
    <w:rsid w:val="669B5E8E"/>
    <w:rsid w:val="67367C78"/>
    <w:rsid w:val="678A4CB4"/>
    <w:rsid w:val="67FA6F08"/>
    <w:rsid w:val="6EA91E8E"/>
    <w:rsid w:val="708243D3"/>
    <w:rsid w:val="71AA3117"/>
    <w:rsid w:val="735C2CFF"/>
    <w:rsid w:val="74497FB5"/>
    <w:rsid w:val="75456D0E"/>
    <w:rsid w:val="75610AB3"/>
    <w:rsid w:val="777F589E"/>
    <w:rsid w:val="78F758DF"/>
    <w:rsid w:val="7D5239E6"/>
    <w:rsid w:val="7EC84463"/>
    <w:rsid w:val="7F893E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9" w:semiHidden="0" w:name="heading 3"/>
    <w:lsdException w:qFormat="1" w:unhideWhenUsed="0" w:uiPriority="99"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9"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qFormat="1"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qFormat="1" w:unhideWhenUsed="0" w:uiPriority="99"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14">
    <w:name w:val="heading 3"/>
    <w:basedOn w:val="1"/>
    <w:next w:val="1"/>
    <w:qFormat/>
    <w:uiPriority w:val="99"/>
    <w:pPr>
      <w:keepNext/>
      <w:keepLines/>
      <w:spacing w:before="260" w:after="260" w:line="413" w:lineRule="auto"/>
      <w:outlineLvl w:val="2"/>
    </w:pPr>
    <w:rPr>
      <w:b/>
      <w:sz w:val="32"/>
      <w:szCs w:val="20"/>
    </w:rPr>
  </w:style>
  <w:style w:type="paragraph" w:styleId="15">
    <w:name w:val="heading 4"/>
    <w:basedOn w:val="1"/>
    <w:next w:val="1"/>
    <w:qFormat/>
    <w:uiPriority w:val="99"/>
    <w:pPr>
      <w:keepNext/>
      <w:keepLines/>
      <w:spacing w:line="360" w:lineRule="auto"/>
      <w:outlineLvl w:val="3"/>
    </w:pPr>
    <w:rPr>
      <w:rFonts w:ascii="Arial" w:hAnsi="Arial"/>
      <w:b/>
      <w:sz w:val="28"/>
      <w:szCs w:val="20"/>
    </w:rPr>
  </w:style>
  <w:style w:type="character" w:default="1" w:styleId="17">
    <w:name w:val="Default Paragraph Font"/>
    <w:semiHidden/>
    <w:qFormat/>
    <w:uiPriority w:val="0"/>
  </w:style>
  <w:style w:type="table" w:default="1" w:styleId="16">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5"/>
    <w:qFormat/>
    <w:uiPriority w:val="99"/>
    <w:pPr>
      <w:ind w:firstLine="420" w:firstLineChars="200"/>
    </w:pPr>
    <w:rPr>
      <w:color w:val="000000"/>
    </w:rPr>
  </w:style>
  <w:style w:type="paragraph" w:styleId="3">
    <w:name w:val="Body Text Indent"/>
    <w:basedOn w:val="1"/>
    <w:next w:val="4"/>
    <w:qFormat/>
    <w:uiPriority w:val="99"/>
    <w:pPr>
      <w:spacing w:line="360" w:lineRule="auto"/>
      <w:ind w:firstLine="480" w:firstLineChars="200"/>
    </w:pPr>
    <w:rPr>
      <w:kern w:val="0"/>
      <w:sz w:val="20"/>
    </w:rPr>
  </w:style>
  <w:style w:type="paragraph" w:styleId="4">
    <w:name w:val="Body Text Indent 2"/>
    <w:basedOn w:val="1"/>
    <w:qFormat/>
    <w:uiPriority w:val="99"/>
    <w:pPr>
      <w:spacing w:line="520" w:lineRule="exact"/>
      <w:ind w:firstLine="480" w:firstLineChars="200"/>
    </w:pPr>
    <w:rPr>
      <w:kern w:val="0"/>
      <w:sz w:val="20"/>
    </w:rPr>
  </w:style>
  <w:style w:type="paragraph" w:styleId="5">
    <w:name w:val="List Continue"/>
    <w:basedOn w:val="1"/>
    <w:next w:val="6"/>
    <w:qFormat/>
    <w:uiPriority w:val="0"/>
    <w:pPr>
      <w:spacing w:after="120"/>
      <w:ind w:left="420" w:firstLine="3584"/>
    </w:pPr>
  </w:style>
  <w:style w:type="paragraph" w:styleId="6">
    <w:name w:val="Body Text First Indent"/>
    <w:basedOn w:val="7"/>
    <w:next w:val="11"/>
    <w:qFormat/>
    <w:uiPriority w:val="99"/>
    <w:pPr>
      <w:autoSpaceDE w:val="0"/>
      <w:autoSpaceDN w:val="0"/>
      <w:adjustRightInd w:val="0"/>
      <w:spacing w:after="120"/>
      <w:ind w:firstLine="420"/>
      <w:jc w:val="left"/>
      <w:textAlignment w:val="baseline"/>
    </w:pPr>
  </w:style>
  <w:style w:type="paragraph" w:styleId="7">
    <w:name w:val="Body Text"/>
    <w:basedOn w:val="1"/>
    <w:next w:val="8"/>
    <w:qFormat/>
    <w:uiPriority w:val="0"/>
    <w:rPr>
      <w:rFonts w:ascii="宋体" w:hAnsi="宋体"/>
      <w:sz w:val="24"/>
    </w:rPr>
  </w:style>
  <w:style w:type="paragraph" w:customStyle="1" w:styleId="8">
    <w:name w:val="正文部分 Char Char Char"/>
    <w:basedOn w:val="7"/>
    <w:next w:val="9"/>
    <w:qFormat/>
    <w:uiPriority w:val="99"/>
    <w:pPr>
      <w:spacing w:line="460" w:lineRule="exact"/>
      <w:textAlignment w:val="baseline"/>
    </w:pPr>
    <w:rPr>
      <w:sz w:val="24"/>
    </w:rPr>
  </w:style>
  <w:style w:type="paragraph" w:customStyle="1" w:styleId="9">
    <w:name w:val="章标题"/>
    <w:basedOn w:val="10"/>
    <w:qFormat/>
    <w:uiPriority w:val="99"/>
    <w:pPr>
      <w:spacing w:line="360" w:lineRule="auto"/>
    </w:pPr>
  </w:style>
  <w:style w:type="paragraph" w:styleId="10">
    <w:name w:val="Title"/>
    <w:basedOn w:val="1"/>
    <w:next w:val="1"/>
    <w:qFormat/>
    <w:uiPriority w:val="99"/>
    <w:pPr>
      <w:spacing w:before="240" w:after="60"/>
      <w:jc w:val="center"/>
      <w:outlineLvl w:val="0"/>
    </w:pPr>
    <w:rPr>
      <w:rFonts w:ascii="Cambria" w:hAnsi="Cambria"/>
      <w:b/>
      <w:kern w:val="0"/>
      <w:sz w:val="32"/>
      <w:szCs w:val="20"/>
    </w:rPr>
  </w:style>
  <w:style w:type="paragraph" w:styleId="11">
    <w:name w:val="Body Text 3"/>
    <w:basedOn w:val="1"/>
    <w:next w:val="12"/>
    <w:qFormat/>
    <w:uiPriority w:val="99"/>
    <w:pPr>
      <w:spacing w:line="400" w:lineRule="exact"/>
    </w:pPr>
    <w:rPr>
      <w:kern w:val="0"/>
      <w:sz w:val="16"/>
      <w:szCs w:val="16"/>
    </w:rPr>
  </w:style>
  <w:style w:type="paragraph" w:styleId="12">
    <w:name w:val="List 2"/>
    <w:basedOn w:val="1"/>
    <w:next w:val="13"/>
    <w:qFormat/>
    <w:uiPriority w:val="0"/>
    <w:pPr>
      <w:ind w:left="100" w:leftChars="200" w:hanging="200" w:hangingChars="200"/>
    </w:pPr>
    <w:rPr>
      <w:rFonts w:ascii="Times New Roman" w:hAnsi="Times New Roman" w:eastAsia="宋体" w:cs="Times New Roman"/>
      <w:szCs w:val="24"/>
    </w:rPr>
  </w:style>
  <w:style w:type="paragraph" w:styleId="13">
    <w:name w:val="Date"/>
    <w:basedOn w:val="1"/>
    <w:next w:val="1"/>
    <w:qFormat/>
    <w:uiPriority w:val="99"/>
    <w:pPr>
      <w:ind w:left="100" w:leftChars="2500"/>
    </w:pPr>
  </w:style>
  <w:style w:type="character" w:customStyle="1" w:styleId="18">
    <w:name w:val="目录4 Char"/>
    <w:qFormat/>
    <w:uiPriority w:val="99"/>
    <w:rPr>
      <w:rFonts w:ascii="黑体" w:eastAsia="黑体"/>
      <w:kern w:val="2"/>
      <w:sz w:val="24"/>
      <w:lang w:val="en-US" w:eastAsia="zh-CN"/>
    </w:rPr>
  </w:style>
  <w:style w:type="character" w:customStyle="1" w:styleId="19">
    <w:name w:val="目录4 Char Char"/>
    <w:qFormat/>
    <w:uiPriority w:val="99"/>
    <w:rPr>
      <w:rFonts w:ascii="黑体" w:eastAsia="黑体"/>
      <w:kern w:val="2"/>
      <w:sz w:val="24"/>
      <w:lang w:val="en-US" w:eastAsia="zh-CN"/>
    </w:rPr>
  </w:style>
  <w:style w:type="paragraph" w:customStyle="1" w:styleId="20">
    <w:name w:val="列表段落1"/>
    <w:basedOn w:val="1"/>
    <w:qFormat/>
    <w:uiPriority w:val="99"/>
    <w:pPr>
      <w:ind w:firstLine="420" w:firstLineChars="200"/>
    </w:pPr>
    <w:rPr>
      <w:rFonts w:ascii="Calibri" w:hAnsi="Calibri"/>
      <w:szCs w:val="22"/>
    </w:rPr>
  </w:style>
  <w:style w:type="paragraph" w:customStyle="1" w:styleId="21">
    <w:name w:val="目录1"/>
    <w:basedOn w:val="1"/>
    <w:qFormat/>
    <w:uiPriority w:val="99"/>
    <w:rPr>
      <w:rFonts w:ascii="黑体" w:eastAsia="黑体"/>
      <w:sz w:val="52"/>
      <w:szCs w:val="52"/>
    </w:rPr>
  </w:style>
  <w:style w:type="paragraph" w:styleId="22">
    <w:name w:val="No Spacing"/>
    <w:qFormat/>
    <w:uiPriority w:val="0"/>
    <w:pPr>
      <w:widowControl w:val="0"/>
      <w:jc w:val="both"/>
    </w:pPr>
    <w:rPr>
      <w:rFonts w:ascii="宋体" w:hAnsi="宋体" w:eastAsia="宋体" w:cs="Times New Roman"/>
      <w:kern w:val="2"/>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2022-07-14T09:40:00Z</dcterms:created>
  <dc:creator>admin</dc:creator>
  <cp:lastModifiedBy>李</cp:lastModifiedBy>
  <dcterms:modified xsi:type="dcterms:W3CDTF">2023-02-28T02:23:23Z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78724F35F4C14ABF86A21046069351B7</vt:lpwstr>
  </property>
</Properties>
</file>